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310885.xml.htm"/>
      <w:bookmarkStart w:id="1" w:name="kswkform4_179131088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MEALOR CATHERINE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209 TROY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TUPELO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MS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38804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RENASANT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RNST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11,273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11,273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Service-based restricted stock awarded under the 2020 Long Term Incentive Plan. The shares will ratably vest on each of the first two anniversaries of the October 5, 2026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Chandra Kidd,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58060" TargetMode="External"/><Relationship Id="rId5" Type="http://schemas.openxmlformats.org/officeDocument/2006/relationships/hyperlink" Target="http://www.sec.gov/cgi-bin/browse-edgar?action=getcompany&amp;CIK=00007150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591</Words>
  <Characters>3197</Characters>
  <CharactersWithSpaces>3720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