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October 27, 2026</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Date of report (Date of earliest event reported)</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RENASANT CORPORATION</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460" w:type="dxa"/>
            <w:vAlign w:val="bottom"/>
          </w:tcPr>
          <w:p>
            <w:pPr>
              <w:jc w:val="center"/>
              <w:ind w:left="459"/>
              <w:spacing w:after="0"/>
              <w:rPr>
                <w:sz w:val="20"/>
                <w:szCs w:val="20"/>
                <w:color w:val="auto"/>
              </w:rPr>
            </w:pPr>
            <w:r>
              <w:rPr>
                <w:rFonts w:ascii="Times New Roman" w:cs="Times New Roman" w:eastAsia="Times New Roman" w:hAnsi="Times New Roman"/>
                <w:sz w:val="14"/>
                <w:szCs w:val="14"/>
                <w:color w:val="auto"/>
              </w:rPr>
              <w:t>Mississippi</w:t>
            </w:r>
          </w:p>
        </w:tc>
        <w:tc>
          <w:tcPr>
            <w:tcW w:w="4720" w:type="dxa"/>
            <w:vAlign w:val="bottom"/>
          </w:tcPr>
          <w:p>
            <w:pPr>
              <w:ind w:left="1820"/>
              <w:spacing w:after="0"/>
              <w:rPr>
                <w:sz w:val="20"/>
                <w:szCs w:val="20"/>
                <w:color w:val="auto"/>
              </w:rPr>
            </w:pPr>
            <w:r>
              <w:rPr>
                <w:rFonts w:ascii="Times New Roman" w:cs="Times New Roman" w:eastAsia="Times New Roman" w:hAnsi="Times New Roman"/>
                <w:sz w:val="14"/>
                <w:szCs w:val="14"/>
                <w:color w:val="auto"/>
              </w:rPr>
              <w:t>001-13253</w:t>
            </w:r>
          </w:p>
        </w:tc>
        <w:tc>
          <w:tcPr>
            <w:tcW w:w="3100" w:type="dxa"/>
            <w:vAlign w:val="bottom"/>
          </w:tcPr>
          <w:p>
            <w:pPr>
              <w:jc w:val="center"/>
              <w:ind w:right="899"/>
              <w:spacing w:after="0"/>
              <w:rPr>
                <w:sz w:val="20"/>
                <w:szCs w:val="20"/>
                <w:color w:val="auto"/>
              </w:rPr>
            </w:pPr>
            <w:r>
              <w:rPr>
                <w:rFonts w:ascii="Times New Roman" w:cs="Times New Roman" w:eastAsia="Times New Roman" w:hAnsi="Times New Roman"/>
                <w:sz w:val="14"/>
                <w:szCs w:val="14"/>
                <w:color w:val="auto"/>
              </w:rPr>
              <w:t>64-0676974</w:t>
            </w:r>
          </w:p>
        </w:tc>
      </w:tr>
      <w:tr>
        <w:trPr>
          <w:trHeight w:val="179"/>
        </w:trPr>
        <w:tc>
          <w:tcPr>
            <w:tcW w:w="3460" w:type="dxa"/>
            <w:vAlign w:val="bottom"/>
          </w:tcPr>
          <w:p>
            <w:pPr>
              <w:jc w:val="center"/>
              <w:ind w:left="459"/>
              <w:spacing w:after="0"/>
              <w:rPr>
                <w:sz w:val="20"/>
                <w:szCs w:val="20"/>
                <w:color w:val="auto"/>
              </w:rPr>
            </w:pPr>
            <w:r>
              <w:rPr>
                <w:rFonts w:ascii="Times New Roman" w:cs="Times New Roman" w:eastAsia="Times New Roman" w:hAnsi="Times New Roman"/>
                <w:sz w:val="12"/>
                <w:szCs w:val="12"/>
                <w:color w:val="auto"/>
                <w:w w:val="99"/>
              </w:rPr>
              <w:t>(State or other jurisdiction</w:t>
            </w:r>
          </w:p>
        </w:tc>
        <w:tc>
          <w:tcPr>
            <w:tcW w:w="4720" w:type="dxa"/>
            <w:vAlign w:val="bottom"/>
          </w:tcPr>
          <w:p>
            <w:pPr>
              <w:ind w:left="1820"/>
              <w:spacing w:after="0"/>
              <w:rPr>
                <w:sz w:val="20"/>
                <w:szCs w:val="20"/>
                <w:color w:val="auto"/>
              </w:rPr>
            </w:pPr>
            <w:r>
              <w:rPr>
                <w:rFonts w:ascii="Times New Roman" w:cs="Times New Roman" w:eastAsia="Times New Roman" w:hAnsi="Times New Roman"/>
                <w:sz w:val="12"/>
                <w:szCs w:val="12"/>
                <w:color w:val="auto"/>
              </w:rPr>
              <w:t>(Commission</w:t>
            </w:r>
          </w:p>
        </w:tc>
        <w:tc>
          <w:tcPr>
            <w:tcW w:w="3100" w:type="dxa"/>
            <w:vAlign w:val="bottom"/>
          </w:tcPr>
          <w:p>
            <w:pPr>
              <w:jc w:val="center"/>
              <w:ind w:right="899"/>
              <w:spacing w:after="0"/>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3460" w:type="dxa"/>
            <w:vAlign w:val="bottom"/>
          </w:tcPr>
          <w:p>
            <w:pPr>
              <w:jc w:val="center"/>
              <w:ind w:left="459"/>
              <w:spacing w:after="0"/>
              <w:rPr>
                <w:sz w:val="20"/>
                <w:szCs w:val="20"/>
                <w:color w:val="auto"/>
              </w:rPr>
            </w:pPr>
            <w:r>
              <w:rPr>
                <w:rFonts w:ascii="Times New Roman" w:cs="Times New Roman" w:eastAsia="Times New Roman" w:hAnsi="Times New Roman"/>
                <w:sz w:val="12"/>
                <w:szCs w:val="12"/>
                <w:color w:val="auto"/>
              </w:rPr>
              <w:t>of incorporation)</w:t>
            </w:r>
          </w:p>
        </w:tc>
        <w:tc>
          <w:tcPr>
            <w:tcW w:w="4720" w:type="dxa"/>
            <w:vAlign w:val="bottom"/>
          </w:tcPr>
          <w:p>
            <w:pPr>
              <w:ind w:left="1800"/>
              <w:spacing w:after="0"/>
              <w:rPr>
                <w:sz w:val="20"/>
                <w:szCs w:val="20"/>
                <w:color w:val="auto"/>
              </w:rPr>
            </w:pPr>
            <w:r>
              <w:rPr>
                <w:rFonts w:ascii="Times New Roman" w:cs="Times New Roman" w:eastAsia="Times New Roman" w:hAnsi="Times New Roman"/>
                <w:sz w:val="12"/>
                <w:szCs w:val="12"/>
                <w:color w:val="auto"/>
              </w:rPr>
              <w:t>File Number)</w:t>
            </w:r>
          </w:p>
        </w:tc>
        <w:tc>
          <w:tcPr>
            <w:tcW w:w="3100" w:type="dxa"/>
            <w:vAlign w:val="bottom"/>
          </w:tcPr>
          <w:p>
            <w:pPr>
              <w:jc w:val="center"/>
              <w:ind w:right="899"/>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584"/>
        </w:trPr>
        <w:tc>
          <w:tcPr>
            <w:tcW w:w="3460" w:type="dxa"/>
            <w:vAlign w:val="bottom"/>
          </w:tcPr>
          <w:p>
            <w:pPr>
              <w:spacing w:after="0"/>
              <w:rPr>
                <w:sz w:val="24"/>
                <w:szCs w:val="24"/>
                <w:color w:val="auto"/>
              </w:rPr>
            </w:pPr>
          </w:p>
        </w:tc>
        <w:tc>
          <w:tcPr>
            <w:tcW w:w="4720" w:type="dxa"/>
            <w:vAlign w:val="bottom"/>
          </w:tcPr>
          <w:p>
            <w:pPr>
              <w:jc w:val="center"/>
              <w:ind w:right="298"/>
              <w:spacing w:after="0"/>
              <w:rPr>
                <w:sz w:val="20"/>
                <w:szCs w:val="20"/>
                <w:color w:val="auto"/>
              </w:rPr>
            </w:pPr>
            <w:r>
              <w:rPr>
                <w:rFonts w:ascii="Times New Roman" w:cs="Times New Roman" w:eastAsia="Times New Roman" w:hAnsi="Times New Roman"/>
                <w:sz w:val="14"/>
                <w:szCs w:val="14"/>
                <w:color w:val="auto"/>
              </w:rPr>
              <w:t>209 Troy Street, Tupelo, Mississippi 38804-4827</w:t>
            </w:r>
          </w:p>
        </w:tc>
        <w:tc>
          <w:tcPr>
            <w:tcW w:w="3100" w:type="dxa"/>
            <w:vAlign w:val="bottom"/>
          </w:tcPr>
          <w:p>
            <w:pPr>
              <w:spacing w:after="0"/>
              <w:rPr>
                <w:sz w:val="24"/>
                <w:szCs w:val="24"/>
                <w:color w:val="auto"/>
              </w:rPr>
            </w:pPr>
          </w:p>
        </w:tc>
      </w:tr>
      <w:tr>
        <w:trPr>
          <w:trHeight w:val="172"/>
        </w:trPr>
        <w:tc>
          <w:tcPr>
            <w:tcW w:w="3460" w:type="dxa"/>
            <w:vAlign w:val="bottom"/>
          </w:tcPr>
          <w:p>
            <w:pPr>
              <w:spacing w:after="0"/>
              <w:rPr>
                <w:sz w:val="14"/>
                <w:szCs w:val="14"/>
                <w:color w:val="auto"/>
              </w:rPr>
            </w:pPr>
          </w:p>
        </w:tc>
        <w:tc>
          <w:tcPr>
            <w:tcW w:w="4720" w:type="dxa"/>
            <w:vAlign w:val="bottom"/>
          </w:tcPr>
          <w:p>
            <w:pPr>
              <w:jc w:val="center"/>
              <w:ind w:right="298"/>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3100" w:type="dxa"/>
            <w:vAlign w:val="bottom"/>
          </w:tcPr>
          <w:p>
            <w:pPr>
              <w:spacing w:after="0"/>
              <w:rPr>
                <w:sz w:val="14"/>
                <w:szCs w:val="14"/>
                <w:color w:val="auto"/>
              </w:rPr>
            </w:pPr>
          </w:p>
        </w:tc>
      </w:tr>
      <w:tr>
        <w:trPr>
          <w:trHeight w:val="311"/>
        </w:trPr>
        <w:tc>
          <w:tcPr>
            <w:tcW w:w="3460" w:type="dxa"/>
            <w:vAlign w:val="bottom"/>
          </w:tcPr>
          <w:p>
            <w:pPr>
              <w:spacing w:after="0"/>
              <w:rPr>
                <w:sz w:val="24"/>
                <w:szCs w:val="24"/>
                <w:color w:val="auto"/>
              </w:rPr>
            </w:pPr>
          </w:p>
        </w:tc>
        <w:tc>
          <w:tcPr>
            <w:tcW w:w="4720" w:type="dxa"/>
            <w:vAlign w:val="bottom"/>
          </w:tcPr>
          <w:p>
            <w:pPr>
              <w:jc w:val="center"/>
              <w:ind w:right="278"/>
              <w:spacing w:after="0"/>
              <w:rPr>
                <w:sz w:val="20"/>
                <w:szCs w:val="20"/>
                <w:color w:val="auto"/>
              </w:rPr>
            </w:pPr>
            <w:r>
              <w:rPr>
                <w:rFonts w:ascii="Times New Roman" w:cs="Times New Roman" w:eastAsia="Times New Roman" w:hAnsi="Times New Roman"/>
                <w:sz w:val="11"/>
                <w:szCs w:val="11"/>
                <w:color w:val="auto"/>
                <w:w w:val="97"/>
              </w:rPr>
              <w:t>Registrant’s telephone number, including area code: (662) 680-1001</w:t>
            </w:r>
          </w:p>
        </w:tc>
        <w:tc>
          <w:tcPr>
            <w:tcW w:w="3100" w:type="dxa"/>
            <w:vAlign w:val="bottom"/>
          </w:tcPr>
          <w:p>
            <w:pPr>
              <w:spacing w:after="0"/>
              <w:rPr>
                <w:sz w:val="24"/>
                <w:szCs w:val="24"/>
                <w:color w:val="auto"/>
              </w:rPr>
            </w:pPr>
          </w:p>
        </w:tc>
      </w:tr>
      <w:tr>
        <w:trPr>
          <w:trHeight w:val="153"/>
        </w:trPr>
        <w:tc>
          <w:tcPr>
            <w:tcW w:w="3460" w:type="dxa"/>
            <w:vAlign w:val="bottom"/>
          </w:tcPr>
          <w:p>
            <w:pPr>
              <w:spacing w:after="0"/>
              <w:rPr>
                <w:sz w:val="20"/>
                <w:szCs w:val="20"/>
                <w:color w:val="auto"/>
              </w:rPr>
            </w:pPr>
            <w:r>
              <w:rPr>
                <w:rFonts w:ascii="Times New Roman" w:cs="Times New Roman" w:eastAsia="Times New Roman" w:hAnsi="Times New Roman"/>
                <w:sz w:val="11"/>
                <w:szCs w:val="11"/>
                <w:color w:val="auto"/>
              </w:rPr>
              <w:t>Check   the   appropriate   box   below   if   the   Form   8-K</w:t>
            </w:r>
          </w:p>
        </w:tc>
        <w:tc>
          <w:tcPr>
            <w:tcW w:w="47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filing   is   intended   to   simultaneously   satisfy   the   filing   obligation   of   the</w:t>
            </w:r>
          </w:p>
        </w:tc>
        <w:tc>
          <w:tcPr>
            <w:tcW w:w="31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registrant   under   any   of   the   following   provisions:</w:t>
            </w:r>
          </w:p>
        </w:tc>
      </w:tr>
    </w:tbl>
    <w:p>
      <w:pPr>
        <w:spacing w:after="0" w:line="49" w:lineRule="exact"/>
        <w:rPr>
          <w:sz w:val="24"/>
          <w:szCs w:val="24"/>
          <w:color w:val="auto"/>
        </w:rPr>
      </w:pPr>
    </w:p>
    <w:p>
      <w:pPr>
        <w:ind w:left="660" w:hanging="629"/>
        <w:spacing w:after="0"/>
        <w:tabs>
          <w:tab w:leader="none" w:pos="6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660" w:hanging="629"/>
        <w:spacing w:after="0"/>
        <w:tabs>
          <w:tab w:leader="none" w:pos="6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660" w:hanging="629"/>
        <w:spacing w:after="0"/>
        <w:tabs>
          <w:tab w:leader="none" w:pos="6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660" w:hanging="629"/>
        <w:spacing w:after="0"/>
        <w:tabs>
          <w:tab w:leader="none" w:pos="6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ectPr>
          <w:pgSz w:w="11900" w:h="16838" w:orient="portrait"/>
          <w:cols w:equalWidth="0" w:num="1">
            <w:col w:w="11280"/>
          </w:cols>
          <w:pgMar w:left="300" w:top="1084" w:right="319" w:bottom="1440" w:gutter="0" w:footer="0" w:header="0"/>
        </w:sectPr>
      </w:pPr>
    </w:p>
    <w:p>
      <w:pPr>
        <w:spacing w:after="0" w:line="36"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1"/>
          <w:szCs w:val="11"/>
          <w:color w:val="auto"/>
        </w:rPr>
        <w:t>Title of each class</w:t>
      </w:r>
    </w:p>
    <w:p>
      <w:pPr>
        <w:spacing w:after="0" w:line="27"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0"/>
          <w:szCs w:val="10"/>
          <w:color w:val="auto"/>
        </w:rPr>
        <w:t>Common stock, $5.00 par value per share</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0"/>
          <w:szCs w:val="10"/>
          <w:color w:val="auto"/>
        </w:rPr>
        <w:t>Trading Symbol(s)</w:t>
      </w:r>
    </w:p>
    <w:p>
      <w:pPr>
        <w:spacing w:after="0" w:line="3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1"/>
          <w:szCs w:val="11"/>
          <w:color w:val="auto"/>
        </w:rPr>
        <w:t>RNST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0"/>
          <w:szCs w:val="10"/>
          <w:color w:val="auto"/>
        </w:rPr>
        <w:t>Name of each exchange on which registered</w:t>
      </w:r>
    </w:p>
    <w:p>
      <w:pPr>
        <w:spacing w:after="0" w:line="38"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1"/>
          <w:szCs w:val="11"/>
          <w:color w:val="auto"/>
        </w:rPr>
        <w:t>The New York Stock Exchange</w:t>
      </w:r>
    </w:p>
    <w:p>
      <w:pPr>
        <w:spacing w:after="0" w:line="147" w:lineRule="exact"/>
        <w:rPr>
          <w:sz w:val="24"/>
          <w:szCs w:val="24"/>
          <w:color w:val="auto"/>
        </w:rPr>
      </w:pPr>
    </w:p>
    <w:p>
      <w:pPr>
        <w:sectPr>
          <w:pgSz w:w="11900" w:h="16838" w:orient="portrait"/>
          <w:cols w:equalWidth="0" w:num="3">
            <w:col w:w="4520" w:space="720"/>
            <w:col w:w="2000" w:space="720"/>
            <w:col w:w="3320"/>
          </w:cols>
          <w:pgMar w:left="300" w:top="1084" w:right="319" w:bottom="1440" w:gutter="0" w:footer="0" w:header="0"/>
          <w:type w:val="continuous"/>
        </w:sectPr>
      </w:pPr>
    </w:p>
    <w:p>
      <w:pPr>
        <w:ind w:right="80"/>
        <w:spacing w:after="0" w:line="198"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722630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8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October 27, 2026, Renasant Corporation (the “Company”) issued a press release announcing earnings for the third quarter of 2026. The press release is furnished as Exhibit 99.1 to this Form 8-K.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45"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2"/>
          <w:szCs w:val="12"/>
          <w:color w:val="auto"/>
        </w:rPr>
        <w:t>On October 27, 2026, the Company also made available presentation materials (the “Presentation”) prepared for use with its earnings conference call on October 28, 2026. The Presentation is attached hereto and incorporated herein as Exhibit 99.2.</w:t>
      </w:r>
    </w:p>
    <w:p>
      <w:pPr>
        <w:spacing w:after="0" w:line="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accordance with General Instruction B.2 of Form 8-K, the information in this Item 7.01, including Exhibit 99.2,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or the Securities Exchange Act of 1934, as amended, except as shall be expressly set forth by specific reference in such filing.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press release may contain, or incorporate by reference, statements about Renasant Corporation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or similar expressions, or future or conditional verbs such as “will,” “should,” “would” and “could,” are generally forward-looking in nature and not historical facts. Forward-looking statements include information about the Company’s future financial performance, business strategy, projected plans and objectives and are based on the current beliefs and expectations of management. The Company’s management believes these forward-looking statements are reasonable, but they are all inherently subject to significant business, economic and competitive risks and uncertainties, many of which are beyond the Company’s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forward-looking statements are not guarantees of future performance and involve risks and uncertainties and, accordingly, investors should not place undue reliance on these forward-looking statements, which speak only as of the date they are made.</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Important factors currently known to management that could cause the Company’s actual results to differ materially from those in forward-looking statements include the following: (i) the Company’s ability to efficiently integrate acquisitions into its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the Company has acquired or may acquire; (iii) the effect of economic conditions and interest rates on a national, regional or international basis; (iv) timing and success of the implementation of changes in operations to achieve enhanced earnings or effect cost savings; (v) the Company’s ability to remediate the material weakness in the its internal control over financial reporting identified in the Company’s Annual Report on Form 10-K for the year ended December 31, 2025 filed with the Securities and Exchange Commission (the “SEC”) on March 2, 2026; (vi) competitive pressures in the consumer finance, commercial finance, financial services, asset management, retail banking, factoring and mortgage lending and auto lending industries; (vii) the financial resources of, and products available from, competitors; (viii) changes in laws and regulations as well as changes in accounting standards; (ix) changes in governmental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647065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51" w:right="299" w:bottom="1440" w:gutter="0" w:footer="0" w:header="0"/>
        </w:sectPr>
      </w:pPr>
    </w:p>
    <w:bookmarkStart w:id="2" w:name="page3"/>
    <w:bookmarkEnd w:id="2"/>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the Company’s investment securities portfolio;</w:t>
      </w:r>
    </w:p>
    <w:p>
      <w:pPr>
        <w:spacing w:after="0" w:line="1" w:lineRule="exact"/>
        <w:rPr>
          <w:sz w:val="20"/>
          <w:szCs w:val="20"/>
          <w:color w:val="auto"/>
        </w:rPr>
      </w:pPr>
    </w:p>
    <w:p>
      <w:pPr>
        <w:jc w:val="both"/>
        <w:ind w:left="8" w:hanging="8"/>
        <w:spacing w:after="0" w:line="251" w:lineRule="auto"/>
        <w:tabs>
          <w:tab w:leader="none" w:pos="282"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insufficient allowance for credit losses as a result of inaccurate assumptions; (xiv) changes in the sources and costs of the capital the Company uses to make loans and otherwise fund the Company’s operations, due to deposit outflows, changes in the mix of deposits and the cost and availability of borrowings; (xv) general economic, market or business conditions, including the impact of inflation; (xvi) changes in demand for loan and deposit products and other financial services; (xvii) concentrations of credit or deposit exposure; (xviii) changes or the lack of changes in interest rates, yield curves and interest rate spread relationships; (xix) losses resulting from fraudulent activity, including loan and deposit fraud and social engineering attacks targeting the Company’s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the Company’s geographic area; (xxii)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w:t>
      </w:r>
    </w:p>
    <w:p>
      <w:pPr>
        <w:spacing w:after="0" w:line="95"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Management believes that the assumptions underlying Company’s forward-looking statements are reasonable, but any of the assumptions could prove to be inaccurate. Investors are urged to carefully consider the risks described in the Company’s filings with the SEC from time to time, including its most recent Annual Report on Form 10-K and subsequent Quarterly Reports on Form 10-Q, which are available at www.renasant.com and the SEC’s website at www.sec.gov.</w:t>
      </w:r>
    </w:p>
    <w:p>
      <w:pPr>
        <w:spacing w:after="0" w:line="83"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The Company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spacing w:after="0" w:line="233" w:lineRule="exact"/>
        <w:rPr>
          <w:sz w:val="20"/>
          <w:szCs w:val="20"/>
          <w:color w:val="auto"/>
        </w:rPr>
      </w:pPr>
    </w:p>
    <w:p>
      <w:pPr>
        <w:ind w:left="8"/>
        <w:spacing w:after="0"/>
        <w:tabs>
          <w:tab w:leader="none" w:pos="60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54" w:lineRule="exact"/>
        <w:rPr>
          <w:sz w:val="20"/>
          <w:szCs w:val="20"/>
          <w:color w:val="auto"/>
        </w:rPr>
      </w:pPr>
    </w:p>
    <w:p>
      <w:pPr>
        <w:ind w:left="128" w:right="8700" w:hanging="8"/>
        <w:spacing w:after="0" w:line="500" w:lineRule="auto"/>
        <w:tabs>
          <w:tab w:leader="none" w:pos="386"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following exhibits are furnished herewith: </w:t>
      </w:r>
      <w:r>
        <w:rPr>
          <w:rFonts w:ascii="Times New Roman" w:cs="Times New Roman" w:eastAsia="Times New Roman" w:hAnsi="Times New Roman"/>
          <w:sz w:val="12"/>
          <w:szCs w:val="12"/>
          <w:u w:val="single" w:color="auto"/>
          <w:color w:val="auto"/>
        </w:rPr>
        <w:t>Exhibit No. Description</w:t>
      </w:r>
    </w:p>
    <w:p>
      <w:pPr>
        <w:spacing w:after="0" w:line="1"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99.1  </w:t>
      </w:r>
      <w:r>
        <w:rPr>
          <w:rFonts w:ascii="Times New Roman" w:cs="Times New Roman" w:eastAsia="Times New Roman" w:hAnsi="Times New Roman"/>
          <w:sz w:val="12"/>
          <w:szCs w:val="12"/>
          <w:u w:val="single" w:color="auto"/>
          <w:color w:val="0000FF"/>
        </w:rPr>
        <w:t>Press release issued by Renasant Corporation announcing earnings for the third quarter of 2026</w:t>
      </w:r>
    </w:p>
    <w:p>
      <w:pPr>
        <w:spacing w:after="0" w:line="150" w:lineRule="exact"/>
        <w:rPr>
          <w:rFonts w:ascii="Times New Roman" w:cs="Times New Roman" w:eastAsia="Times New Roman" w:hAnsi="Times New Roman"/>
          <w:sz w:val="12"/>
          <w:szCs w:val="12"/>
          <w:color w:val="auto"/>
        </w:rPr>
      </w:pPr>
    </w:p>
    <w:p>
      <w:pPr>
        <w:ind w:left="428" w:right="6580"/>
        <w:spacing w:after="0" w:line="53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99.2 </w:t>
      </w:r>
      <w:r>
        <w:rPr>
          <w:rFonts w:ascii="Times New Roman" w:cs="Times New Roman" w:eastAsia="Times New Roman" w:hAnsi="Times New Roman"/>
          <w:sz w:val="12"/>
          <w:szCs w:val="12"/>
          <w:u w:val="single" w:color="auto"/>
          <w:color w:val="0000FF"/>
        </w:rPr>
        <w:t>Presentation materials for Renasant Corporation Third Quarter 2026 Earnings Call</w:t>
      </w:r>
      <w:r>
        <w:rPr>
          <w:rFonts w:ascii="Times New Roman" w:cs="Times New Roman" w:eastAsia="Times New Roman" w:hAnsi="Times New Roman"/>
          <w:sz w:val="12"/>
          <w:szCs w:val="12"/>
          <w:color w:val="auto"/>
        </w:rPr>
        <w:t xml:space="preserve"> 104 The cover page of Renasant Corporation's Form 8-K is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715645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3" w:right="299" w:bottom="1440" w:gutter="0" w:footer="0" w:header="0"/>
        </w:sectPr>
      </w:pPr>
    </w:p>
    <w:bookmarkStart w:id="3" w:name="page4"/>
    <w:bookmarkEnd w:id="3"/>
    <w:p>
      <w:pPr>
        <w:ind w:left="52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5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color w:val="auto"/>
        </w:rPr>
        <w:t>RENASANT CORPORATION</w:t>
      </w:r>
    </w:p>
    <w:p>
      <w:pPr>
        <w:spacing w:after="0" w:line="55"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2"/>
          <w:szCs w:val="12"/>
          <w:color w:val="auto"/>
        </w:rPr>
        <w:t>Date: October 27, 2026</w:t>
      </w:r>
      <w:r>
        <w:rPr>
          <w:sz w:val="20"/>
          <w:szCs w:val="20"/>
          <w:color w:val="auto"/>
        </w:rPr>
        <w:tab/>
      </w:r>
      <w:r>
        <w:rPr>
          <w:rFonts w:ascii="Times New Roman" w:cs="Times New Roman" w:eastAsia="Times New Roman" w:hAnsi="Times New Roman"/>
          <w:sz w:val="12"/>
          <w:szCs w:val="12"/>
          <w:color w:val="auto"/>
        </w:rPr>
        <w:t>By: /s/ Kevin D.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27940</wp:posOffset>
            </wp:positionV>
            <wp:extent cx="33718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line="4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Kevin D. Chapman</w:t>
      </w:r>
    </w:p>
    <w:p>
      <w:pPr>
        <w:spacing w:after="0" w:line="5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Executive Officer</w:t>
      </w:r>
    </w:p>
    <w:p>
      <w:pPr>
        <w:sectPr>
          <w:pgSz w:w="11900" w:h="16838" w:orient="portrait"/>
          <w:cols w:equalWidth="0" w:num="1">
            <w:col w:w="10119"/>
          </w:cols>
          <w:pgMar w:left="340" w:top="1007"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20"/>
        <w:spacing w:after="0"/>
        <w:tabs>
          <w:tab w:leader="none" w:pos="2560" w:val="left"/>
        </w:tabs>
        <w:rPr>
          <w:sz w:val="20"/>
          <w:szCs w:val="20"/>
          <w:color w:val="auto"/>
        </w:rPr>
      </w:pPr>
      <w:r>
        <w:rPr>
          <w:rFonts w:ascii="Times New Roman" w:cs="Times New Roman" w:eastAsia="Times New Roman" w:hAnsi="Times New Roman"/>
          <w:sz w:val="13"/>
          <w:szCs w:val="13"/>
          <w:color w:val="auto"/>
        </w:rPr>
        <w:t>Contacts:</w:t>
      </w:r>
      <w:r>
        <w:rPr>
          <w:sz w:val="20"/>
          <w:szCs w:val="20"/>
          <w:color w:val="auto"/>
        </w:rPr>
        <w:tab/>
      </w:r>
      <w:r>
        <w:rPr>
          <w:rFonts w:ascii="Times New Roman" w:cs="Times New Roman" w:eastAsia="Times New Roman" w:hAnsi="Times New Roman"/>
          <w:sz w:val="13"/>
          <w:szCs w:val="13"/>
          <w:b w:val="1"/>
          <w:bCs w:val="1"/>
          <w:color w:val="auto"/>
        </w:rPr>
        <w:t>For Media:</w:t>
      </w:r>
    </w:p>
    <w:p>
      <w:pPr>
        <w:spacing w:after="0" w:line="3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John S. Oxford</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Senior Vice President</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Chief Marketing Officer</w:t>
      </w:r>
    </w:p>
    <w:p>
      <w:pPr>
        <w:spacing w:after="0" w:line="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3"/>
          <w:szCs w:val="13"/>
          <w:color w:val="auto"/>
        </w:rPr>
        <w:t>(662) 680-1219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 Financials: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-1106805</wp:posOffset>
            </wp:positionV>
            <wp:extent cx="305752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57525" cy="96012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James C. Mabry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Executive Vice President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(662) 680-1281</w:t>
      </w:r>
    </w:p>
    <w:p>
      <w:pPr>
        <w:spacing w:after="0" w:line="200" w:lineRule="exact"/>
        <w:rPr>
          <w:sz w:val="20"/>
          <w:szCs w:val="20"/>
          <w:color w:val="auto"/>
        </w:rPr>
      </w:pPr>
    </w:p>
    <w:p>
      <w:pPr>
        <w:sectPr>
          <w:pgSz w:w="11900" w:h="16838" w:orient="portrait"/>
          <w:cols w:equalWidth="0" w:num="2">
            <w:col w:w="6080" w:space="720"/>
            <w:col w:w="4500"/>
          </w:cols>
          <w:pgMar w:left="300" w:top="1440" w:right="29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RENASANT CORPORATION ANNOUNCES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EARNINGS FOR THE THIRD QUARTER OF 2026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TUPELO, MISSISSIPPI (October 27, 2026) </w:t>
      </w:r>
      <w:r>
        <w:rPr>
          <w:rFonts w:ascii="Times New Roman" w:cs="Times New Roman" w:eastAsia="Times New Roman" w:hAnsi="Times New Roman"/>
          <w:sz w:val="12"/>
          <w:szCs w:val="12"/>
          <w:color w:val="auto"/>
        </w:rPr>
        <w:t>- Renasant Corporation (NYSE: RNST) (the “Company”) today announced earnings results for the third quarter of 2026.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2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(Dollars in thousands, except earnings per share)</w:t>
            </w:r>
          </w:p>
        </w:tc>
        <w:tc>
          <w:tcPr>
            <w:tcW w:w="500" w:type="dxa"/>
            <w:vAlign w:val="bottom"/>
          </w:tcPr>
          <w:p>
            <w:pPr>
              <w:spacing w:after="0"/>
              <w:rPr>
                <w:sz w:val="12"/>
                <w:szCs w:val="12"/>
                <w:color w:val="auto"/>
              </w:rPr>
            </w:pPr>
          </w:p>
        </w:tc>
        <w:tc>
          <w:tcPr>
            <w:tcW w:w="148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0" w:type="dxa"/>
            <w:vAlign w:val="bottom"/>
            <w:gridSpan w:val="2"/>
          </w:tcPr>
          <w:p>
            <w:pPr>
              <w:jc w:val="right"/>
              <w:ind w:right="886"/>
              <w:spacing w:after="0"/>
              <w:rPr>
                <w:sz w:val="20"/>
                <w:szCs w:val="20"/>
                <w:color w:val="auto"/>
              </w:rPr>
            </w:pPr>
            <w:r>
              <w:rPr>
                <w:rFonts w:ascii="Times New Roman" w:cs="Times New Roman" w:eastAsia="Times New Roman" w:hAnsi="Times New Roman"/>
                <w:sz w:val="11"/>
                <w:szCs w:val="11"/>
                <w:b w:val="1"/>
                <w:bCs w:val="1"/>
                <w:color w:val="auto"/>
              </w:rPr>
              <w:t>Nine Months Ended</w:t>
            </w:r>
          </w:p>
        </w:tc>
      </w:tr>
      <w:tr>
        <w:trPr>
          <w:trHeight w:val="142"/>
        </w:trPr>
        <w:tc>
          <w:tcPr>
            <w:tcW w:w="4240" w:type="dxa"/>
            <w:vAlign w:val="bottom"/>
          </w:tcPr>
          <w:p>
            <w:pPr>
              <w:spacing w:after="0"/>
              <w:rPr>
                <w:sz w:val="12"/>
                <w:szCs w:val="12"/>
                <w:color w:val="auto"/>
              </w:rPr>
            </w:pPr>
          </w:p>
        </w:tc>
        <w:tc>
          <w:tcPr>
            <w:tcW w:w="10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1"/>
                <w:szCs w:val="11"/>
                <w:b w:val="1"/>
                <w:bCs w:val="1"/>
                <w:color w:val="auto"/>
                <w:w w:val="95"/>
              </w:rPr>
              <w:t>Sep 30, 2026</w:t>
            </w:r>
          </w:p>
        </w:tc>
        <w:tc>
          <w:tcPr>
            <w:tcW w:w="5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Jun 30, 2026</w:t>
            </w:r>
          </w:p>
        </w:tc>
        <w:tc>
          <w:tcPr>
            <w:tcW w:w="128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Sep 30, 2025</w:t>
            </w:r>
          </w:p>
        </w:tc>
        <w:tc>
          <w:tcPr>
            <w:tcW w:w="1600" w:type="dxa"/>
            <w:vAlign w:val="bottom"/>
            <w:tcBorders>
              <w:top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Sep 30, 2026</w:t>
            </w:r>
          </w:p>
        </w:tc>
        <w:tc>
          <w:tcPr>
            <w:tcW w:w="1200" w:type="dxa"/>
            <w:vAlign w:val="bottom"/>
            <w:tcBorders>
              <w:top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Sep 30, 2025</w:t>
            </w:r>
          </w:p>
        </w:tc>
      </w:tr>
      <w:tr>
        <w:trPr>
          <w:trHeight w:val="135"/>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income and Earnings per share:</w:t>
            </w:r>
          </w:p>
        </w:tc>
        <w:tc>
          <w:tcPr>
            <w:tcW w:w="10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r>
      <w:tr>
        <w:trPr>
          <w:trHeight w:val="151"/>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Net income</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$78,949</w:t>
            </w:r>
          </w:p>
        </w:tc>
        <w:tc>
          <w:tcPr>
            <w:tcW w:w="14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$87,091</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$59,788</w:t>
            </w:r>
          </w:p>
        </w:tc>
        <w:tc>
          <w:tcPr>
            <w:tcW w:w="80" w:type="dxa"/>
            <w:vAlign w:val="bottom"/>
          </w:tcPr>
          <w:p>
            <w:pPr>
              <w:spacing w:after="0"/>
              <w:rPr>
                <w:sz w:val="13"/>
                <w:szCs w:val="13"/>
                <w:color w:val="auto"/>
              </w:rPr>
            </w:pPr>
          </w:p>
        </w:tc>
        <w:tc>
          <w:tcPr>
            <w:tcW w:w="16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$254,268</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$102,324</w:t>
            </w:r>
          </w:p>
        </w:tc>
      </w:tr>
      <w:tr>
        <w:trPr>
          <w:trHeight w:val="155"/>
        </w:trPr>
        <w:tc>
          <w:tcPr>
            <w:tcW w:w="5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Merger and conversion related expenses (net of tax)</w:t>
            </w:r>
          </w:p>
        </w:tc>
        <w:tc>
          <w:tcPr>
            <w:tcW w:w="5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(13,129)</w:t>
            </w: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(29,561)</w:t>
            </w:r>
          </w:p>
        </w:tc>
      </w:tr>
      <w:tr>
        <w:trPr>
          <w:trHeight w:val="151"/>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Day 1 acquisition provision (net of tax)</w:t>
            </w: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(50,026)</w:t>
            </w:r>
          </w:p>
        </w:tc>
      </w:tr>
      <w:tr>
        <w:trPr>
          <w:trHeight w:val="155"/>
        </w:trPr>
        <w:tc>
          <w:tcPr>
            <w:tcW w:w="5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Basic EPS</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0.87</w:t>
            </w:r>
          </w:p>
        </w:tc>
        <w:tc>
          <w:tcPr>
            <w:tcW w:w="14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0.95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0.63</w:t>
            </w: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2.76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r>
      <w:tr>
        <w:trPr>
          <w:trHeight w:val="151"/>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Diluted EPS</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0.86</w:t>
            </w:r>
          </w:p>
        </w:tc>
        <w:tc>
          <w:tcPr>
            <w:tcW w:w="14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0.94</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0.63</w:t>
            </w:r>
          </w:p>
        </w:tc>
        <w:tc>
          <w:tcPr>
            <w:tcW w:w="80" w:type="dxa"/>
            <w:vAlign w:val="bottom"/>
          </w:tcPr>
          <w:p>
            <w:pPr>
              <w:spacing w:after="0"/>
              <w:rPr>
                <w:sz w:val="13"/>
                <w:szCs w:val="13"/>
                <w:color w:val="auto"/>
              </w:rPr>
            </w:pPr>
          </w:p>
        </w:tc>
        <w:tc>
          <w:tcPr>
            <w:tcW w:w="16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2.74</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r>
      <w:tr>
        <w:trPr>
          <w:trHeight w:val="155"/>
        </w:trPr>
        <w:tc>
          <w:tcPr>
            <w:tcW w:w="5240" w:type="dxa"/>
            <w:vAlign w:val="bottom"/>
            <w:gridSpan w:val="2"/>
            <w:shd w:val="clear" w:color="auto" w:fill="CCEEFF"/>
          </w:tcPr>
          <w:p>
            <w:pPr>
              <w:ind w:left="80"/>
              <w:spacing w:after="0" w:line="155" w:lineRule="exact"/>
              <w:rPr>
                <w:sz w:val="20"/>
                <w:szCs w:val="20"/>
                <w:color w:val="auto"/>
              </w:rPr>
            </w:pPr>
            <w:r>
              <w:rPr>
                <w:rFonts w:ascii="Times New Roman" w:cs="Times New Roman" w:eastAsia="Times New Roman" w:hAnsi="Times New Roman"/>
                <w:sz w:val="11"/>
                <w:szCs w:val="11"/>
                <w:color w:val="auto"/>
              </w:rPr>
              <w:t>Adjusted diluted EPS (non-GAAP)</w:t>
            </w:r>
            <w:r>
              <w:rPr>
                <w:rFonts w:ascii="Times New Roman" w:cs="Times New Roman" w:eastAsia="Times New Roman" w:hAnsi="Times New Roman"/>
                <w:sz w:val="14"/>
                <w:szCs w:val="14"/>
                <w:color w:val="auto"/>
                <w:vertAlign w:val="superscript"/>
              </w:rPr>
              <w:t>(1)</w:t>
            </w:r>
          </w:p>
        </w:tc>
        <w:tc>
          <w:tcPr>
            <w:tcW w:w="5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0.86</w:t>
            </w:r>
          </w:p>
        </w:tc>
        <w:tc>
          <w:tcPr>
            <w:tcW w:w="14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0.94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0.77</w:t>
            </w: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2.74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w:t>
            </w:r>
          </w:p>
        </w:tc>
      </w:tr>
      <w:tr>
        <w:trPr>
          <w:trHeight w:val="151"/>
        </w:trPr>
        <w:tc>
          <w:tcPr>
            <w:tcW w:w="52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Impact to diluted EPS from merger and conversion related expenses (net of tax)</w:t>
            </w:r>
          </w:p>
        </w:tc>
        <w:tc>
          <w:tcPr>
            <w:tcW w:w="5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(0.14)</w:t>
            </w:r>
          </w:p>
        </w:tc>
        <w:tc>
          <w:tcPr>
            <w:tcW w:w="80" w:type="dxa"/>
            <w:vAlign w:val="bottom"/>
          </w:tcPr>
          <w:p>
            <w:pPr>
              <w:spacing w:after="0"/>
              <w:rPr>
                <w:sz w:val="13"/>
                <w:szCs w:val="13"/>
                <w:color w:val="auto"/>
              </w:rPr>
            </w:pPr>
          </w:p>
        </w:tc>
        <w:tc>
          <w:tcPr>
            <w:tcW w:w="16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(0.35)</w:t>
            </w:r>
          </w:p>
        </w:tc>
      </w:tr>
      <w:tr>
        <w:trPr>
          <w:trHeight w:val="155"/>
        </w:trPr>
        <w:tc>
          <w:tcPr>
            <w:tcW w:w="5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Impact to diluted EPS from Day 1 acquisition provision (net of tax)</w:t>
            </w:r>
          </w:p>
        </w:tc>
        <w:tc>
          <w:tcPr>
            <w:tcW w:w="5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16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(0.59)</w:t>
            </w:r>
          </w:p>
        </w:tc>
      </w:tr>
    </w:tbl>
    <w:p>
      <w:pPr>
        <w:spacing w:after="0" w:line="2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“Third quarter results reflect strong loan growth with a record level of loan production, continued momentum in core deposit growth and a stable core net interest margin. We maintained expense discipline alongside increased hiring efforts, were active in buybacks, and reduced our levels of criticized and nonperforming loans. We believe our team is well-positioned to build upon our year-to-date success as we grow customer relationships and hire talent throughout our footprint,” remarked Kevin D. Chapman, President and Chief Executive Officer of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Quarterly Highlights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Earnings</w:t>
      </w:r>
    </w:p>
    <w:p>
      <w:pPr>
        <w:ind w:left="420" w:hanging="212"/>
        <w:spacing w:after="0" w:line="228"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for the third quarter of 2026 was $78.9 million; both diluted EPS and adjusted diluted EPS (non-GAAP)</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were $0.86</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interest income, on a fully tax equivalent basis, for the third quarter of 2026 was $228.6 million, up $0.9 million linked quarter</w:t>
      </w: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440" w:right="299" w:bottom="1440" w:gutter="0" w:footer="0" w:header="0"/>
          <w:type w:val="continuous"/>
        </w:sectPr>
      </w:pPr>
    </w:p>
    <w:bookmarkStart w:id="5" w:name="page6"/>
    <w:bookmarkEnd w:id="5"/>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interest margin, on a fully tax equivalent basis, for the third quarter of 2026 was 3.77%, down 6 basis points linked quarter. Adjusted net interest margin (non-GAAP)</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was 3.58%, down 3 basis points linked quarter</w:t>
      </w:r>
    </w:p>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total deposits was 1.97% for the third quarter of 2026, up 1 basis point linked quarter</w:t>
      </w:r>
    </w:p>
    <w:p>
      <w:pPr>
        <w:spacing w:after="0" w:line="4"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Noninterest income decreased $1.9 million linked quarter, primarily due to rising mortgage interest rates that resulted in both decreased production of new loans and market value adjustments on pending loan sales</w:t>
      </w:r>
    </w:p>
    <w:p>
      <w:pPr>
        <w:spacing w:after="0" w:line="6" w:lineRule="exact"/>
        <w:rPr>
          <w:rFonts w:ascii="Times New Roman" w:cs="Times New Roman" w:eastAsia="Times New Roman" w:hAnsi="Times New Roman"/>
          <w:sz w:val="12"/>
          <w:szCs w:val="12"/>
          <w:color w:val="auto"/>
        </w:rPr>
      </w:pPr>
    </w:p>
    <w:p>
      <w:pPr>
        <w:ind w:left="428" w:hanging="212"/>
        <w:spacing w:after="0" w:line="250" w:lineRule="auto"/>
        <w:tabs>
          <w:tab w:leader="none" w:pos="42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Mortgage banking income decreased $1.9 million linked quarter. The mortgage division generated $520.6 million in interest rate lock volume in the third quarter of 2026, down $91.0 million linked quarter. Gain on sale margin was 1.75% for the third quarter of 2026, up 18 basis points linked quarter</w:t>
      </w:r>
    </w:p>
    <w:p>
      <w:pPr>
        <w:ind w:left="428" w:hanging="212"/>
        <w:spacing w:after="0" w:line="260" w:lineRule="auto"/>
        <w:tabs>
          <w:tab w:leader="none" w:pos="42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Noninterest expense decreased $1.2 million linked quarter, driven primarily by a decline in deferred compensation expense tied to market valuations and an increase in deferred loan costs driven by loan growth, partially offset by higher health insurance claims</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Balance Sheet</w:t>
      </w:r>
    </w:p>
    <w:p>
      <w:pPr>
        <w:spacing w:after="0" w:line="19" w:lineRule="exact"/>
        <w:rPr>
          <w:sz w:val="20"/>
          <w:szCs w:val="20"/>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Loans increased $555.9 million linked quarter, representing an 11.5% annualized net loan increase, driven by strong production during the quarter and lower payoff activity on a linked quarter basis</w:t>
      </w:r>
    </w:p>
    <w:p>
      <w:pPr>
        <w:spacing w:after="0" w:line="6" w:lineRule="exact"/>
        <w:rPr>
          <w:rFonts w:ascii="Times New Roman" w:cs="Times New Roman" w:eastAsia="Times New Roman" w:hAnsi="Times New Roman"/>
          <w:sz w:val="12"/>
          <w:szCs w:val="12"/>
          <w:color w:val="auto"/>
        </w:rPr>
      </w:pPr>
    </w:p>
    <w:p>
      <w:pPr>
        <w:ind w:left="428" w:right="20" w:hanging="212"/>
        <w:spacing w:after="0" w:line="250" w:lineRule="auto"/>
        <w:tabs>
          <w:tab w:leader="none" w:pos="42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Securities decreased $33.1 million linked quarter. The Company purchased $196.9 million in securities during the third quarter, which was offset by a negative fair market value adjustment in the Company’s available-for-sale portfolio of $86.0 million and cash flows related to principal payments, calls and maturities of $153.5 million</w:t>
      </w:r>
    </w:p>
    <w:p>
      <w:pPr>
        <w:ind w:left="428" w:right="20" w:hanging="212"/>
        <w:spacing w:after="0" w:line="250" w:lineRule="auto"/>
        <w:tabs>
          <w:tab w:leader="none" w:pos="42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Deposits at September 30, 2026 decreased $73.2 million linked quarter. Outflows in public fund deposits of $214.7 million were partially offset by growth in consumer and commercial deposits. Noninterest bearing deposits represented 23.1% of total deposits at September 30, 2026 as compared to 23.2% at June 30, 2026</w:t>
      </w: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Short-term borrowings increased $491.3 million linked quarter</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redeemed $40.0 million in subordinated notes on September 1, 2026</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Capital and Stock Repurchase Program</w:t>
      </w:r>
    </w:p>
    <w:p>
      <w:pPr>
        <w:ind w:left="428" w:hanging="212"/>
        <w:spacing w:after="0" w:line="228" w:lineRule="auto"/>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Book value per share and tangible book value per share (non-GAAP)</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2"/>
          <w:szCs w:val="12"/>
          <w:color w:val="auto"/>
        </w:rPr>
        <w:t xml:space="preserve"> increased 0.1% and decreased 0.2%, respectively, linked quarter</w:t>
      </w:r>
    </w:p>
    <w:p>
      <w:pPr>
        <w:ind w:left="428" w:hanging="212"/>
        <w:spacing w:after="0"/>
        <w:tabs>
          <w:tab w:leader="none" w:pos="42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third quarter of 2026, the Company repurchased $42.6 million of common stock at a weighted average price of $41.05 per share</w:t>
      </w:r>
    </w:p>
    <w:p>
      <w:pPr>
        <w:spacing w:after="0" w:line="4" w:lineRule="exact"/>
        <w:rPr>
          <w:rFonts w:ascii="Times New Roman" w:cs="Times New Roman" w:eastAsia="Times New Roman" w:hAnsi="Times New Roman"/>
          <w:sz w:val="12"/>
          <w:szCs w:val="12"/>
          <w:color w:val="auto"/>
        </w:rPr>
      </w:pPr>
    </w:p>
    <w:p>
      <w:pPr>
        <w:jc w:val="both"/>
        <w:ind w:left="428" w:hanging="212"/>
        <w:spacing w:after="0" w:line="255" w:lineRule="auto"/>
        <w:tabs>
          <w:tab w:leader="none" w:pos="42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October 27, 2026, the Company’s Board of Directors approved a $175.0 million stock repurchase program under which the Company is authorized to repurchase outstanding shares of its common stock either in open market purchases or privately negotiated transactions. This program, which will remain in effect until the earlier of October 2027 or the repurchase of the entire amount authorized under the plan, replaces the Company’s stock repurchase program that expired in October 2026</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Credit Quality</w:t>
      </w:r>
    </w:p>
    <w:p>
      <w:pPr>
        <w:spacing w:after="0" w:line="19" w:lineRule="exact"/>
        <w:rPr>
          <w:sz w:val="20"/>
          <w:szCs w:val="20"/>
          <w:color w:val="auto"/>
        </w:rPr>
      </w:pPr>
    </w:p>
    <w:p>
      <w:pPr>
        <w:ind w:left="428" w:hanging="212"/>
        <w:spacing w:after="0" w:line="250" w:lineRule="auto"/>
        <w:tabs>
          <w:tab w:leader="none" w:pos="425"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recorded a provision for credit losses on loans and unfunded commitments of $10.1 million and $3.2 million, respectively, for the third quarter of 2026, representing an increase of $8.9 million and $0.6 million, respectively, linked quarter, primarily driven by growth in loans and unfunded commitments</w:t>
      </w:r>
    </w:p>
    <w:p>
      <w:pPr>
        <w:ind w:left="428" w:hanging="212"/>
        <w:spacing w:after="0" w:line="250" w:lineRule="auto"/>
        <w:tabs>
          <w:tab w:leader="none" w:pos="425"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ratio of the allowance for credit losses on loans to total loans was 1.50% at September 30, 2026, down 4 basis points linked quarter. The lower ACL ratio was primarily attributable to continued improvement in overall credit quality metrics and movements in the specific reserve, partially offset by strong loan growth during the quarter</w:t>
      </w:r>
    </w:p>
    <w:p>
      <w:pPr>
        <w:ind w:left="428" w:hanging="212"/>
        <w:spacing w:after="0"/>
        <w:tabs>
          <w:tab w:leader="none" w:pos="428"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coverage ratio, or the allowance for credit losses on loans to nonperforming loans, was 168.75% at September 30, 2026, compared to 158.73% at June 30, 2026</w:t>
      </w:r>
    </w:p>
    <w:p>
      <w:pPr>
        <w:spacing w:after="0" w:line="6"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loan charge-offs for the third quarter of 2026 were $10.0 million, or 0.20% annualized, of which 16 bps were attributable to a single credit</w:t>
      </w:r>
    </w:p>
    <w:p>
      <w:pPr>
        <w:spacing w:after="0" w:line="6" w:lineRule="exact"/>
        <w:rPr>
          <w:rFonts w:ascii="Times New Roman" w:cs="Times New Roman" w:eastAsia="Times New Roman" w:hAnsi="Times New Roman"/>
          <w:sz w:val="12"/>
          <w:szCs w:val="12"/>
          <w:color w:val="auto"/>
        </w:rPr>
      </w:pPr>
    </w:p>
    <w:p>
      <w:pPr>
        <w:ind w:left="428" w:right="20" w:hanging="212"/>
        <w:spacing w:after="0" w:line="260" w:lineRule="auto"/>
        <w:tabs>
          <w:tab w:leader="none" w:pos="425"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Nonperforming loans to total loans decreased to 0.89% at September 30, 2026 compared to 0.97% at June 30, 2026 , and criticized loans (which include classified and special mention loans) to total loans decreased to 2.50% at September 30, 2026, compared to 2.66% at June 30, 2026</w:t>
      </w:r>
    </w:p>
    <w:p>
      <w:pPr>
        <w:spacing w:after="0" w:line="200" w:lineRule="exact"/>
        <w:rPr>
          <w:rFonts w:ascii="Times New Roman" w:cs="Times New Roman" w:eastAsia="Times New Roman" w:hAnsi="Times New Roman"/>
          <w:sz w:val="12"/>
          <w:szCs w:val="12"/>
          <w:color w:val="auto"/>
        </w:rPr>
      </w:pPr>
    </w:p>
    <w:p>
      <w:pPr>
        <w:spacing w:after="0" w:line="260" w:lineRule="exact"/>
        <w:rPr>
          <w:rFonts w:ascii="Times New Roman" w:cs="Times New Roman" w:eastAsia="Times New Roman" w:hAnsi="Times New Roman"/>
          <w:sz w:val="12"/>
          <w:szCs w:val="12"/>
          <w:color w:val="auto"/>
        </w:rPr>
      </w:pPr>
    </w:p>
    <w:p>
      <w:pPr>
        <w:ind w:left="8" w:right="20" w:hanging="8"/>
        <w:spacing w:after="0" w:line="228" w:lineRule="auto"/>
        <w:tabs>
          <w:tab w:leader="none" w:pos="96" w:val="left"/>
        </w:tabs>
        <w:numPr>
          <w:ilvl w:val="0"/>
          <w:numId w:val="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This is a non-GAAP financial measure. A reconciliation of all non-GAAP financial measures disclosed in this release from GAAP to non-GAAP is included in the tables at the end of this release. The information below under the heading “Non-GAAP Financial Measures” explains why the Company believes the non-GAAP financial measures in this release provide useful information and describes the other purposes for which the Company uses non-GAAP financial measures.</w:t>
      </w: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8"/>
          </w:cols>
          <w:pgMar w:left="292" w:top="652" w:right="299" w:bottom="144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Income Statement</w:t>
      </w:r>
    </w:p>
    <w:p>
      <w:pPr>
        <w:spacing w:after="0" w:line="51"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00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 except per share data)</w:t>
            </w: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3"/>
          </w:tcPr>
          <w:p>
            <w:pPr>
              <w:jc w:val="right"/>
              <w:ind w:right="572"/>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33"/>
        </w:trPr>
        <w:tc>
          <w:tcPr>
            <w:tcW w:w="4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Sep 30, 2026</w:t>
            </w:r>
          </w:p>
        </w:tc>
        <w:tc>
          <w:tcPr>
            <w:tcW w:w="180" w:type="dxa"/>
            <w:vAlign w:val="bottom"/>
          </w:tcPr>
          <w:p>
            <w:pPr>
              <w:spacing w:after="0"/>
              <w:rPr>
                <w:sz w:val="11"/>
                <w:szCs w:val="11"/>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Jun 30, 2026</w:t>
            </w:r>
          </w:p>
        </w:tc>
        <w:tc>
          <w:tcPr>
            <w:tcW w:w="80" w:type="dxa"/>
            <w:vAlign w:val="bottom"/>
          </w:tcPr>
          <w:p>
            <w:pPr>
              <w:spacing w:after="0"/>
              <w:rPr>
                <w:sz w:val="11"/>
                <w:szCs w:val="11"/>
                <w:color w:val="auto"/>
              </w:rPr>
            </w:pPr>
          </w:p>
        </w:tc>
        <w:tc>
          <w:tcPr>
            <w:tcW w:w="94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Mar 31, 2026</w:t>
            </w:r>
          </w:p>
        </w:tc>
        <w:tc>
          <w:tcPr>
            <w:tcW w:w="180" w:type="dxa"/>
            <w:vAlign w:val="bottom"/>
          </w:tcPr>
          <w:p>
            <w:pPr>
              <w:spacing w:after="0"/>
              <w:rPr>
                <w:sz w:val="11"/>
                <w:szCs w:val="11"/>
                <w:color w:val="auto"/>
              </w:rPr>
            </w:pPr>
          </w:p>
        </w:tc>
        <w:tc>
          <w:tcPr>
            <w:tcW w:w="84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Dec 31, 2025</w:t>
            </w:r>
          </w:p>
        </w:tc>
        <w:tc>
          <w:tcPr>
            <w:tcW w:w="180" w:type="dxa"/>
            <w:vAlign w:val="bottom"/>
          </w:tcPr>
          <w:p>
            <w:pPr>
              <w:spacing w:after="0"/>
              <w:rPr>
                <w:sz w:val="11"/>
                <w:szCs w:val="11"/>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Sep 30, 2025</w:t>
            </w:r>
          </w:p>
        </w:tc>
        <w:tc>
          <w:tcPr>
            <w:tcW w:w="160" w:type="dxa"/>
            <w:vAlign w:val="bottom"/>
          </w:tcPr>
          <w:p>
            <w:pPr>
              <w:spacing w:after="0"/>
              <w:rPr>
                <w:sz w:val="11"/>
                <w:szCs w:val="11"/>
                <w:color w:val="auto"/>
              </w:rPr>
            </w:pP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Sep 30, 2026</w:t>
            </w:r>
          </w:p>
        </w:tc>
        <w:tc>
          <w:tcPr>
            <w:tcW w:w="180" w:type="dxa"/>
            <w:vAlign w:val="bottom"/>
          </w:tcPr>
          <w:p>
            <w:pPr>
              <w:spacing w:after="0"/>
              <w:rPr>
                <w:sz w:val="11"/>
                <w:szCs w:val="11"/>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Sep 30, 2025</w:t>
            </w:r>
          </w:p>
        </w:tc>
      </w:tr>
      <w:tr>
        <w:trPr>
          <w:trHeight w:val="133"/>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Interest income</w:t>
            </w: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r>
      <w:tr>
        <w:trPr>
          <w:trHeight w:val="136"/>
        </w:trPr>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Loans held for investment</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304,902</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296,346</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295,397</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305,604</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308,110</w:t>
            </w:r>
          </w:p>
        </w:tc>
        <w:tc>
          <w:tcPr>
            <w:tcW w:w="10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896,645</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806,470</w:t>
            </w:r>
          </w:p>
        </w:tc>
      </w:tr>
      <w:tr>
        <w:trPr>
          <w:trHeight w:val="153"/>
        </w:trPr>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Loans held for sale</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2,983</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3,329</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2,876</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3,617</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4,675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9,188</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12,322</w:t>
            </w:r>
          </w:p>
        </w:tc>
      </w:tr>
      <w:tr>
        <w:trPr>
          <w:trHeight w:val="135"/>
        </w:trPr>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Securities</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34,441</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35,660</w:t>
            </w: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32,266</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30,232</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30,217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102,367</w:t>
            </w:r>
          </w:p>
        </w:tc>
        <w:tc>
          <w:tcPr>
            <w:tcW w:w="18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70,742</w:t>
            </w:r>
          </w:p>
        </w:tc>
      </w:tr>
      <w:tr>
        <w:trPr>
          <w:trHeight w:val="153"/>
        </w:trPr>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w:t>
            </w: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5,009</w:t>
            </w: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5,105</w:t>
            </w: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7,581</w:t>
            </w: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7,480</w:t>
            </w: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8,096</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17,695</w:t>
            </w: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25,792</w:t>
            </w:r>
          </w:p>
        </w:tc>
      </w:tr>
      <w:tr>
        <w:trPr>
          <w:trHeight w:val="125"/>
        </w:trPr>
        <w:tc>
          <w:tcPr>
            <w:tcW w:w="40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interest income</w:t>
            </w:r>
          </w:p>
        </w:tc>
        <w:tc>
          <w:tcPr>
            <w:tcW w:w="1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347,335</w:t>
            </w:r>
          </w:p>
        </w:tc>
        <w:tc>
          <w:tcPr>
            <w:tcW w:w="1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340,440</w:t>
            </w:r>
          </w:p>
        </w:tc>
        <w:tc>
          <w:tcPr>
            <w:tcW w:w="8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338,120</w:t>
            </w:r>
          </w:p>
        </w:tc>
        <w:tc>
          <w:tcPr>
            <w:tcW w:w="1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346,933</w:t>
            </w:r>
          </w:p>
        </w:tc>
        <w:tc>
          <w:tcPr>
            <w:tcW w:w="1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351,098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1,025,895</w:t>
            </w:r>
          </w:p>
        </w:tc>
        <w:tc>
          <w:tcPr>
            <w:tcW w:w="180" w:type="dxa"/>
            <w:vAlign w:val="bottom"/>
          </w:tcPr>
          <w:p>
            <w:pPr>
              <w:spacing w:after="0"/>
              <w:rPr>
                <w:sz w:val="10"/>
                <w:szCs w:val="1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915,326</w:t>
            </w:r>
          </w:p>
        </w:tc>
      </w:tr>
      <w:tr>
        <w:trPr>
          <w:trHeight w:val="15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Interest expense</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35"/>
        </w:trPr>
        <w:tc>
          <w:tcPr>
            <w:tcW w:w="40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Deposits</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107,022</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106,398</w:t>
            </w: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103,860</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105,673</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115,573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317,280</w:t>
            </w:r>
          </w:p>
        </w:tc>
        <w:tc>
          <w:tcPr>
            <w:tcW w:w="18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306,880</w:t>
            </w:r>
          </w:p>
        </w:tc>
      </w:tr>
      <w:tr>
        <w:trPr>
          <w:trHeight w:val="153"/>
        </w:trPr>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Borrowings</w:t>
            </w: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16,624</w:t>
            </w: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11,288</w:t>
            </w:r>
          </w:p>
        </w:tc>
        <w:tc>
          <w:tcPr>
            <w:tcW w:w="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10,701</w:t>
            </w:r>
          </w:p>
        </w:tc>
        <w:tc>
          <w:tcPr>
            <w:tcW w:w="1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13,867</w:t>
            </w: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12,005</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38,613</w:t>
            </w: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31,870</w:t>
            </w:r>
          </w:p>
        </w:tc>
      </w:tr>
      <w:tr>
        <w:trPr>
          <w:trHeight w:val="125"/>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Total interest expense</w:t>
            </w: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123,646</w:t>
            </w: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117,686</w:t>
            </w: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114,561</w:t>
            </w: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119,540</w:t>
            </w: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127,578</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355,893</w:t>
            </w: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338,750</w:t>
            </w:r>
          </w:p>
        </w:tc>
      </w:tr>
      <w:tr>
        <w:trPr>
          <w:trHeight w:val="14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Net interest income</w:t>
            </w:r>
          </w:p>
        </w:tc>
        <w:tc>
          <w:tcPr>
            <w:tcW w:w="1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223,689</w:t>
            </w: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222,754</w:t>
            </w: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223,559</w:t>
            </w: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227,393</w:t>
            </w: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223,520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670,002</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576,576</w:t>
            </w:r>
          </w:p>
        </w:tc>
      </w:tr>
      <w:tr>
        <w:trPr>
          <w:trHeight w:val="116"/>
        </w:trPr>
        <w:tc>
          <w:tcPr>
            <w:tcW w:w="4000" w:type="dxa"/>
            <w:vAlign w:val="bottom"/>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Provision for credit losses</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53"/>
        </w:trPr>
        <w:tc>
          <w:tcPr>
            <w:tcW w:w="40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Provision for loan losses</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10,105</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1,166</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4,224</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5,473</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9,650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15,495</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87,100</w:t>
            </w:r>
          </w:p>
        </w:tc>
      </w:tr>
      <w:tr>
        <w:trPr>
          <w:trHeight w:val="139"/>
        </w:trPr>
        <w:tc>
          <w:tcPr>
            <w:tcW w:w="40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9"/>
                <w:szCs w:val="9"/>
                <w:color w:val="auto"/>
              </w:rPr>
              <w:t>Provision for unfunded commitments</w:t>
            </w: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3,200</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2,633</w:t>
            </w: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3,856</w:t>
            </w: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5,462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800</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9,689</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9,422</w:t>
            </w:r>
          </w:p>
        </w:tc>
      </w:tr>
      <w:tr>
        <w:trPr>
          <w:trHeight w:val="13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provision for credit losses</w:t>
            </w:r>
          </w:p>
        </w:tc>
        <w:tc>
          <w:tcPr>
            <w:tcW w:w="1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13,305</w:t>
            </w: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3,799</w:t>
            </w:r>
          </w:p>
        </w:tc>
        <w:tc>
          <w:tcPr>
            <w:tcW w:w="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8,080</w:t>
            </w: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10,935</w:t>
            </w:r>
          </w:p>
        </w:tc>
        <w:tc>
          <w:tcPr>
            <w:tcW w:w="1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10,450</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25,184</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96,522</w:t>
            </w:r>
          </w:p>
        </w:tc>
      </w:tr>
      <w:tr>
        <w:trPr>
          <w:trHeight w:val="125"/>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Net interest income after provision for credit losses</w:t>
            </w: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210,384</w:t>
            </w: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218,955</w:t>
            </w: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215,479</w:t>
            </w: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216,458</w:t>
            </w: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213,070</w:t>
            </w: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644,818</w:t>
            </w: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480,054</w:t>
            </w:r>
          </w:p>
        </w:tc>
      </w:tr>
      <w:tr>
        <w:trPr>
          <w:trHeight w:val="141"/>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Noninterest income</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49,275</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51,190</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50,272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51,125</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46,026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150,737</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130,755</w:t>
            </w:r>
          </w:p>
        </w:tc>
      </w:tr>
      <w:tr>
        <w:trPr>
          <w:trHeight w:val="136"/>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Noninterest expense</w:t>
            </w: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160,334</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161,501</w:t>
            </w: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155,328</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170,750</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183,830</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477,163</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480,910</w:t>
            </w:r>
          </w:p>
        </w:tc>
      </w:tr>
      <w:tr>
        <w:trPr>
          <w:trHeight w:val="14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Income before income taxes</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99,325</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108,644</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110,423</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96,833</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75,266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318,392</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129,899</w:t>
            </w:r>
          </w:p>
        </w:tc>
      </w:tr>
      <w:tr>
        <w:trPr>
          <w:trHeight w:val="136"/>
        </w:trPr>
        <w:tc>
          <w:tcPr>
            <w:tcW w:w="4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Income taxes</w:t>
            </w: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20,376</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21,553</w:t>
            </w: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22,195</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17,885</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15,478</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64,124</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27,575</w:t>
            </w:r>
          </w:p>
        </w:tc>
      </w:tr>
      <w:tr>
        <w:trPr>
          <w:trHeight w:val="157"/>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Net income</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78,949</w:t>
            </w: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87,091</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88,228</w:t>
            </w: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78,948</w:t>
            </w: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59,788</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254,268</w:t>
            </w: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102,324</w:t>
            </w:r>
          </w:p>
        </w:tc>
      </w:tr>
      <w:tr>
        <w:trPr>
          <w:trHeight w:val="162"/>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Adjusted net income (non-GAAP)</w:t>
            </w:r>
            <w:r>
              <w:rPr>
                <w:rFonts w:ascii="Times New Roman" w:cs="Times New Roman" w:eastAsia="Times New Roman" w:hAnsi="Times New Roman"/>
                <w:sz w:val="12"/>
                <w:szCs w:val="12"/>
                <w:color w:val="auto"/>
                <w:vertAlign w:val="superscript"/>
              </w:rPr>
              <w:t>(1)</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78,949</w:t>
            </w:r>
          </w:p>
        </w:tc>
        <w:tc>
          <w:tcPr>
            <w:tcW w:w="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87,091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88,071</w:t>
            </w:r>
          </w:p>
        </w:tc>
        <w:tc>
          <w:tcPr>
            <w:tcW w:w="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86,879</w:t>
            </w:r>
          </w:p>
        </w:tc>
        <w:tc>
          <w:tcPr>
            <w:tcW w:w="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72,917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254,111</w:t>
            </w:r>
          </w:p>
        </w:tc>
        <w:tc>
          <w:tcPr>
            <w:tcW w:w="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180,809</w:t>
            </w:r>
          </w:p>
        </w:tc>
      </w:tr>
      <w:tr>
        <w:trPr>
          <w:trHeight w:val="153"/>
        </w:trPr>
        <w:tc>
          <w:tcPr>
            <w:tcW w:w="4000" w:type="dxa"/>
            <w:vAlign w:val="bottom"/>
          </w:tcPr>
          <w:p>
            <w:pPr>
              <w:spacing w:after="0"/>
              <w:rPr>
                <w:sz w:val="20"/>
                <w:szCs w:val="20"/>
                <w:color w:val="auto"/>
              </w:rPr>
            </w:pPr>
            <w:r>
              <w:rPr>
                <w:rFonts w:ascii="Times New Roman" w:cs="Times New Roman" w:eastAsia="Times New Roman" w:hAnsi="Times New Roman"/>
                <w:sz w:val="10"/>
                <w:szCs w:val="10"/>
                <w:color w:val="auto"/>
              </w:rPr>
              <w:t>Adjusted pre-provision net revenue (“PPNR”) (non-GAAP)</w:t>
            </w:r>
            <w:r>
              <w:rPr>
                <w:rFonts w:ascii="Times New Roman" w:cs="Times New Roman" w:eastAsia="Times New Roman" w:hAnsi="Times New Roman"/>
                <w:sz w:val="12"/>
                <w:szCs w:val="12"/>
                <w:color w:val="auto"/>
                <w:vertAlign w:val="superscript"/>
              </w:rPr>
              <w:t>(1)</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112,630</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112,443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118,294</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118,335</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103,210</w:t>
            </w:r>
          </w:p>
        </w:tc>
        <w:tc>
          <w:tcPr>
            <w:tcW w:w="100" w:type="dxa"/>
            <w:vAlign w:val="bottom"/>
          </w:tcPr>
          <w:p>
            <w:pPr>
              <w:spacing w:after="0"/>
              <w:rPr>
                <w:sz w:val="13"/>
                <w:szCs w:val="13"/>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343,367</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263,718</w:t>
            </w:r>
          </w:p>
        </w:tc>
      </w:tr>
      <w:tr>
        <w:trPr>
          <w:trHeight w:val="180"/>
        </w:trPr>
        <w:tc>
          <w:tcPr>
            <w:tcW w:w="4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36"/>
        </w:trPr>
        <w:tc>
          <w:tcPr>
            <w:tcW w:w="4000" w:type="dxa"/>
            <w:vAlign w:val="bottom"/>
          </w:tcPr>
          <w:p>
            <w:pPr>
              <w:spacing w:after="0"/>
              <w:rPr>
                <w:sz w:val="20"/>
                <w:szCs w:val="20"/>
                <w:color w:val="auto"/>
              </w:rPr>
            </w:pPr>
            <w:r>
              <w:rPr>
                <w:rFonts w:ascii="Times New Roman" w:cs="Times New Roman" w:eastAsia="Times New Roman" w:hAnsi="Times New Roman"/>
                <w:sz w:val="10"/>
                <w:szCs w:val="10"/>
                <w:color w:val="auto"/>
              </w:rPr>
              <w:t>Basic earnings per share</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0.87</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0.95</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0.94</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0.84</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0.63</w:t>
            </w:r>
          </w:p>
        </w:tc>
        <w:tc>
          <w:tcPr>
            <w:tcW w:w="100" w:type="dxa"/>
            <w:vAlign w:val="bottom"/>
          </w:tcPr>
          <w:p>
            <w:pPr>
              <w:spacing w:after="0"/>
              <w:rPr>
                <w:sz w:val="11"/>
                <w:szCs w:val="11"/>
                <w:color w:val="auto"/>
              </w:rPr>
            </w:pP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1.21</w:t>
            </w:r>
          </w:p>
        </w:tc>
      </w:tr>
      <w:tr>
        <w:trPr>
          <w:trHeight w:val="15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Diluted earnings per share</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0.86</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0.94</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0.94</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0.83</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0.63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1.20</w:t>
            </w:r>
          </w:p>
        </w:tc>
      </w:tr>
      <w:tr>
        <w:trPr>
          <w:trHeight w:val="144"/>
        </w:trPr>
        <w:tc>
          <w:tcPr>
            <w:tcW w:w="4000" w:type="dxa"/>
            <w:vAlign w:val="bottom"/>
          </w:tcPr>
          <w:p>
            <w:pPr>
              <w:spacing w:after="0"/>
              <w:rPr>
                <w:sz w:val="20"/>
                <w:szCs w:val="20"/>
                <w:color w:val="auto"/>
              </w:rPr>
            </w:pPr>
            <w:r>
              <w:rPr>
                <w:rFonts w:ascii="Times New Roman" w:cs="Times New Roman" w:eastAsia="Times New Roman" w:hAnsi="Times New Roman"/>
                <w:sz w:val="10"/>
                <w:szCs w:val="10"/>
                <w:color w:val="auto"/>
              </w:rPr>
              <w:t>Adjusted diluted earnings per share (non-GAAP)</w:t>
            </w:r>
            <w:r>
              <w:rPr>
                <w:rFonts w:ascii="Times New Roman" w:cs="Times New Roman" w:eastAsia="Times New Roman" w:hAnsi="Times New Roman"/>
                <w:sz w:val="12"/>
                <w:szCs w:val="12"/>
                <w:color w:val="auto"/>
                <w:vertAlign w:val="superscript"/>
              </w:rPr>
              <w:t>(1)</w:t>
            </w:r>
          </w:p>
        </w:tc>
        <w:tc>
          <w:tcPr>
            <w:tcW w:w="1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0.86</w:t>
            </w: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0.94</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0.93</w:t>
            </w: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0.91</w:t>
            </w: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180" w:type="dxa"/>
            <w:vAlign w:val="bottom"/>
          </w:tcPr>
          <w:p>
            <w:pPr>
              <w:spacing w:after="0"/>
              <w:rPr>
                <w:sz w:val="12"/>
                <w:szCs w:val="12"/>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2.13</w:t>
            </w:r>
          </w:p>
        </w:tc>
      </w:tr>
      <w:tr>
        <w:trPr>
          <w:trHeight w:val="14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Average basic shares outstanding</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90,925,375</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91,650,415</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93,693,615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94,469,544</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94,623,551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92,079,661</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84,403,694</w:t>
            </w:r>
          </w:p>
        </w:tc>
      </w:tr>
      <w:tr>
        <w:trPr>
          <w:trHeight w:val="136"/>
        </w:trPr>
        <w:tc>
          <w:tcPr>
            <w:tcW w:w="4000" w:type="dxa"/>
            <w:vAlign w:val="bottom"/>
          </w:tcPr>
          <w:p>
            <w:pPr>
              <w:spacing w:after="0"/>
              <w:rPr>
                <w:sz w:val="20"/>
                <w:szCs w:val="20"/>
                <w:color w:val="auto"/>
              </w:rPr>
            </w:pPr>
            <w:r>
              <w:rPr>
                <w:rFonts w:ascii="Times New Roman" w:cs="Times New Roman" w:eastAsia="Times New Roman" w:hAnsi="Times New Roman"/>
                <w:sz w:val="10"/>
                <w:szCs w:val="10"/>
                <w:color w:val="auto"/>
              </w:rPr>
              <w:t>Average diluted shares outstanding</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91,557,082</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92,220,282</w:t>
            </w:r>
          </w:p>
        </w:tc>
        <w:tc>
          <w:tcPr>
            <w:tcW w:w="8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94,228,343</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95,172,380</w:t>
            </w:r>
          </w:p>
        </w:tc>
        <w:tc>
          <w:tcPr>
            <w:tcW w:w="1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95,284,603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92,661,200</w:t>
            </w:r>
          </w:p>
        </w:tc>
        <w:tc>
          <w:tcPr>
            <w:tcW w:w="18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84,934,390</w:t>
            </w:r>
          </w:p>
        </w:tc>
      </w:tr>
      <w:tr>
        <w:trPr>
          <w:trHeight w:val="15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dividends per common share</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0.24</w:t>
            </w:r>
          </w:p>
        </w:tc>
        <w:tc>
          <w:tcPr>
            <w:tcW w:w="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0.23</w:t>
            </w:r>
          </w:p>
        </w:tc>
        <w:tc>
          <w:tcPr>
            <w:tcW w:w="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0.23</w:t>
            </w:r>
          </w:p>
        </w:tc>
        <w:tc>
          <w:tcPr>
            <w:tcW w:w="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0.71</w:t>
            </w:r>
          </w:p>
        </w:tc>
        <w:tc>
          <w:tcPr>
            <w:tcW w:w="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0.66</w:t>
            </w:r>
          </w:p>
        </w:tc>
      </w:tr>
    </w:tbl>
    <w:p>
      <w:pPr>
        <w:spacing w:after="0" w:line="76" w:lineRule="exact"/>
        <w:rPr>
          <w:sz w:val="20"/>
          <w:szCs w:val="20"/>
          <w:color w:val="auto"/>
        </w:rPr>
      </w:pPr>
    </w:p>
    <w:p>
      <w:pPr>
        <w:ind w:left="8" w:right="20" w:hanging="8"/>
        <w:spacing w:after="0" w:line="261" w:lineRule="auto"/>
        <w:tabs>
          <w:tab w:leader="none" w:pos="107" w:val="left"/>
        </w:tabs>
        <w:numPr>
          <w:ilvl w:val="0"/>
          <w:numId w:val="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This is a non-GAAP financial measure. A reconciliation of all non-GAAP financial measures disclosed in this release from GAAP to non-GAAP is included in the tables at the end of this release. The information below under the heading “Non-GAAP Financial Measures” explains why the Company believes the non-GAAP financial measures in this release provide useful information and describes the other purposes for which the Company uses non-GAAP financial measures.</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8"/>
          </w:cols>
          <w:pgMar w:left="292" w:top="661" w:right="29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Performance Ratios</w:t>
      </w:r>
    </w:p>
    <w:p>
      <w:pPr>
        <w:spacing w:after="0" w:line="51"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442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8"/>
              </w:rPr>
              <w:t>Three Months Ended</w:t>
            </w:r>
          </w:p>
        </w:tc>
        <w:tc>
          <w:tcPr>
            <w:tcW w:w="9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2"/>
          </w:tcPr>
          <w:p>
            <w:pPr>
              <w:jc w:val="right"/>
              <w:ind w:right="512"/>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33"/>
        </w:trPr>
        <w:tc>
          <w:tcPr>
            <w:tcW w:w="4420" w:type="dxa"/>
            <w:vAlign w:val="bottom"/>
          </w:tcPr>
          <w:p>
            <w:pPr>
              <w:spacing w:after="0"/>
              <w:rPr>
                <w:sz w:val="11"/>
                <w:szCs w:val="11"/>
                <w:color w:val="auto"/>
              </w:rPr>
            </w:pP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Sep 30, 2026</w:t>
            </w:r>
          </w:p>
        </w:tc>
        <w:tc>
          <w:tcPr>
            <w:tcW w:w="8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Jun 30, 2026</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Mar 31, 2026</w:t>
            </w: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Dec 31, 2025</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Sep 30, 2025</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Sep 30, 2026</w:t>
            </w: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Sep 30, 2025</w:t>
            </w:r>
          </w:p>
        </w:tc>
      </w:tr>
      <w:tr>
        <w:trPr>
          <w:trHeight w:val="141"/>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Return on average assets</w:t>
            </w:r>
          </w:p>
        </w:tc>
        <w:tc>
          <w:tcPr>
            <w:tcW w:w="10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1.16 %</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1.30 %</w:t>
            </w:r>
          </w:p>
        </w:tc>
        <w:tc>
          <w:tcPr>
            <w:tcW w:w="10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1.33 %</w:t>
            </w:r>
          </w:p>
        </w:tc>
        <w:tc>
          <w:tcPr>
            <w:tcW w:w="9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1.17 %</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0.90 %</w:t>
            </w: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1.26 %</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0.58 %</w:t>
            </w: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0"/>
                <w:szCs w:val="10"/>
                <w:color w:val="auto"/>
              </w:rPr>
              <w:t>Adjusted return on average assets (non-GAAP)</w:t>
            </w:r>
            <w:r>
              <w:rPr>
                <w:rFonts w:ascii="Times New Roman" w:cs="Times New Roman" w:eastAsia="Times New Roman" w:hAnsi="Times New Roman"/>
                <w:sz w:val="12"/>
                <w:szCs w:val="12"/>
                <w:color w:val="auto"/>
                <w:vertAlign w:val="superscript"/>
              </w:rPr>
              <w:t>(1)</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1.16</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1.30</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1.33</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1.29</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1.09</w:t>
            </w:r>
          </w:p>
        </w:tc>
        <w:tc>
          <w:tcPr>
            <w:tcW w:w="100" w:type="dxa"/>
            <w:vAlign w:val="bottom"/>
          </w:tcPr>
          <w:p>
            <w:pPr>
              <w:spacing w:after="0"/>
              <w:rPr>
                <w:sz w:val="12"/>
                <w:szCs w:val="12"/>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1.26</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1.03</w:t>
            </w: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Return on average tangible assets (non-GAAP)</w:t>
            </w:r>
            <w:r>
              <w:rPr>
                <w:rFonts w:ascii="Times New Roman" w:cs="Times New Roman" w:eastAsia="Times New Roman" w:hAnsi="Times New Roman"/>
                <w:sz w:val="12"/>
                <w:szCs w:val="12"/>
                <w:color w:val="auto"/>
                <w:vertAlign w:val="superscript"/>
              </w:rPr>
              <w:t>(1)</w:t>
            </w: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1.32</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1.48</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1.51</w:t>
            </w:r>
          </w:p>
        </w:tc>
        <w:tc>
          <w:tcPr>
            <w:tcW w:w="9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1.35</w:t>
            </w: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1.06</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1.44</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0.70</w:t>
            </w: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0"/>
                <w:szCs w:val="10"/>
                <w:color w:val="auto"/>
              </w:rPr>
              <w:t>Adjusted return on average tangible assets (non-GAAP)</w:t>
            </w:r>
            <w:r>
              <w:rPr>
                <w:rFonts w:ascii="Times New Roman" w:cs="Times New Roman" w:eastAsia="Times New Roman" w:hAnsi="Times New Roman"/>
                <w:sz w:val="12"/>
                <w:szCs w:val="12"/>
                <w:color w:val="auto"/>
                <w:vertAlign w:val="superscript"/>
              </w:rPr>
              <w:t>(1)</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1.32</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1.48</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1.51</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1.47</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1.27</w:t>
            </w:r>
          </w:p>
        </w:tc>
        <w:tc>
          <w:tcPr>
            <w:tcW w:w="100" w:type="dxa"/>
            <w:vAlign w:val="bottom"/>
          </w:tcPr>
          <w:p>
            <w:pPr>
              <w:spacing w:after="0"/>
              <w:rPr>
                <w:sz w:val="12"/>
                <w:szCs w:val="12"/>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1.44</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1.17</w:t>
            </w: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Return on average equity</w:t>
            </w: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8.07</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9.07</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9.20</w:t>
            </w:r>
          </w:p>
        </w:tc>
        <w:tc>
          <w:tcPr>
            <w:tcW w:w="9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8.14</w:t>
            </w: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6.25</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8.78</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4.01</w:t>
            </w: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0"/>
                <w:szCs w:val="10"/>
                <w:color w:val="auto"/>
              </w:rPr>
              <w:t>Adjusted return on average equity (non-GAAP)</w:t>
            </w:r>
            <w:r>
              <w:rPr>
                <w:rFonts w:ascii="Times New Roman" w:cs="Times New Roman" w:eastAsia="Times New Roman" w:hAnsi="Times New Roman"/>
                <w:sz w:val="12"/>
                <w:szCs w:val="12"/>
                <w:color w:val="auto"/>
                <w:vertAlign w:val="superscript"/>
              </w:rPr>
              <w:t>(1)</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8.07</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9.07</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9.19</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8.95</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7.62</w:t>
            </w:r>
          </w:p>
        </w:tc>
        <w:tc>
          <w:tcPr>
            <w:tcW w:w="100" w:type="dxa"/>
            <w:vAlign w:val="bottom"/>
          </w:tcPr>
          <w:p>
            <w:pPr>
              <w:spacing w:after="0"/>
              <w:rPr>
                <w:sz w:val="12"/>
                <w:szCs w:val="12"/>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8.77</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7.08</w:t>
            </w: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Return on average tangible equity (non-GAAP)</w:t>
            </w:r>
            <w:r>
              <w:rPr>
                <w:rFonts w:ascii="Times New Roman" w:cs="Times New Roman" w:eastAsia="Times New Roman" w:hAnsi="Times New Roman"/>
                <w:sz w:val="12"/>
                <w:szCs w:val="12"/>
                <w:color w:val="auto"/>
                <w:vertAlign w:val="superscript"/>
              </w:rPr>
              <w:t>(1)</w:t>
            </w: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14.51</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16.25</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16.36</w:t>
            </w:r>
          </w:p>
        </w:tc>
        <w:tc>
          <w:tcPr>
            <w:tcW w:w="9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14.80</w:t>
            </w: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11.87</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15.70</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7.69</w:t>
            </w: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0"/>
                <w:szCs w:val="10"/>
                <w:color w:val="auto"/>
              </w:rPr>
              <w:t>Adjusted return on average tangible equity (non-GAAP)</w:t>
            </w:r>
            <w:r>
              <w:rPr>
                <w:rFonts w:ascii="Times New Roman" w:cs="Times New Roman" w:eastAsia="Times New Roman" w:hAnsi="Times New Roman"/>
                <w:sz w:val="12"/>
                <w:szCs w:val="12"/>
                <w:color w:val="auto"/>
                <w:vertAlign w:val="superscript"/>
              </w:rPr>
              <w:t>(1)</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14.51</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16.25</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16.33</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16.18</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14.22</w:t>
            </w:r>
          </w:p>
        </w:tc>
        <w:tc>
          <w:tcPr>
            <w:tcW w:w="100" w:type="dxa"/>
            <w:vAlign w:val="bottom"/>
          </w:tcPr>
          <w:p>
            <w:pPr>
              <w:spacing w:after="0"/>
              <w:rPr>
                <w:sz w:val="12"/>
                <w:szCs w:val="12"/>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15.69</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12.88</w:t>
            </w: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Efficiency ratio (fully taxable equivalent)</w:t>
            </w: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57.70</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57.92</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55.73</w:t>
            </w:r>
          </w:p>
        </w:tc>
        <w:tc>
          <w:tcPr>
            <w:tcW w:w="9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60.23</w:t>
            </w: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67.05</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57.12</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66.88</w:t>
            </w:r>
          </w:p>
        </w:tc>
      </w:tr>
      <w:tr>
        <w:trPr>
          <w:trHeight w:val="144"/>
        </w:trPr>
        <w:tc>
          <w:tcPr>
            <w:tcW w:w="4420" w:type="dxa"/>
            <w:vAlign w:val="bottom"/>
          </w:tcPr>
          <w:p>
            <w:pPr>
              <w:spacing w:after="0"/>
              <w:rPr>
                <w:sz w:val="20"/>
                <w:szCs w:val="20"/>
                <w:color w:val="auto"/>
              </w:rPr>
            </w:pPr>
            <w:r>
              <w:rPr>
                <w:rFonts w:ascii="Times New Roman" w:cs="Times New Roman" w:eastAsia="Times New Roman" w:hAnsi="Times New Roman"/>
                <w:sz w:val="10"/>
                <w:szCs w:val="10"/>
                <w:color w:val="auto"/>
              </w:rPr>
              <w:t>Adjusted efficiency ratio (non-GAAP)</w:t>
            </w:r>
            <w:r>
              <w:rPr>
                <w:rFonts w:ascii="Times New Roman" w:cs="Times New Roman" w:eastAsia="Times New Roman" w:hAnsi="Times New Roman"/>
                <w:sz w:val="12"/>
                <w:szCs w:val="12"/>
                <w:color w:val="auto"/>
                <w:vertAlign w:val="superscript"/>
              </w:rPr>
              <w:t>(1)</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54.70</w:t>
            </w:r>
          </w:p>
        </w:tc>
        <w:tc>
          <w:tcPr>
            <w:tcW w:w="88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54.92</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52.82</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53.52</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57.51</w:t>
            </w:r>
          </w:p>
        </w:tc>
        <w:tc>
          <w:tcPr>
            <w:tcW w:w="100" w:type="dxa"/>
            <w:vAlign w:val="bottom"/>
          </w:tcPr>
          <w:p>
            <w:pPr>
              <w:spacing w:after="0"/>
              <w:rPr>
                <w:sz w:val="12"/>
                <w:szCs w:val="12"/>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54.15</w:t>
            </w:r>
          </w:p>
        </w:tc>
        <w:tc>
          <w:tcPr>
            <w:tcW w:w="8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59.02</w:t>
            </w:r>
          </w:p>
        </w:tc>
      </w:tr>
      <w:tr>
        <w:trPr>
          <w:trHeight w:val="144"/>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 payout ratio</w:t>
            </w: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27.59</w:t>
            </w:r>
          </w:p>
        </w:tc>
        <w:tc>
          <w:tcPr>
            <w:tcW w:w="8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25.26</w:t>
            </w: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24.47</w:t>
            </w:r>
          </w:p>
        </w:tc>
        <w:tc>
          <w:tcPr>
            <w:tcW w:w="9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27.38</w:t>
            </w: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34.92</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25.72</w:t>
            </w:r>
          </w:p>
        </w:tc>
        <w:tc>
          <w:tcPr>
            <w:tcW w:w="8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54.55</w:t>
            </w:r>
          </w:p>
        </w:tc>
      </w:tr>
    </w:tbl>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Capital and Balance Sheet Ratios</w:t>
      </w:r>
    </w:p>
    <w:p>
      <w:pPr>
        <w:spacing w:after="0" w:line="56" w:lineRule="exact"/>
        <w:rPr>
          <w:sz w:val="20"/>
          <w:szCs w:val="20"/>
          <w:color w:val="auto"/>
        </w:rPr>
      </w:pPr>
    </w:p>
    <w:p>
      <w:pPr>
        <w:ind w:left="7788"/>
        <w:spacing w:after="0"/>
        <w:rPr>
          <w:sz w:val="20"/>
          <w:szCs w:val="20"/>
          <w:color w:val="auto"/>
        </w:rPr>
      </w:pPr>
      <w:r>
        <w:rPr>
          <w:rFonts w:ascii="Times New Roman" w:cs="Times New Roman" w:eastAsia="Times New Roman" w:hAnsi="Times New Roman"/>
          <w:sz w:val="11"/>
          <w:szCs w:val="11"/>
          <w:b w:val="1"/>
          <w:bCs w:val="1"/>
          <w:color w:val="auto"/>
        </w:rPr>
        <w:t>As of</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450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0"/>
                <w:szCs w:val="10"/>
                <w:b w:val="1"/>
                <w:bCs w:val="1"/>
                <w:color w:val="auto"/>
              </w:rPr>
              <w:t>Sep 30, 2026</w:t>
            </w: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0"/>
                <w:szCs w:val="10"/>
                <w:b w:val="1"/>
                <w:bCs w:val="1"/>
                <w:color w:val="auto"/>
              </w:rPr>
              <w:t>Jun 30, 2026</w:t>
            </w: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0"/>
                <w:szCs w:val="10"/>
                <w:b w:val="1"/>
                <w:bCs w:val="1"/>
                <w:color w:val="auto"/>
              </w:rPr>
              <w:t>Mar 31, 2026</w:t>
            </w: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0"/>
                <w:szCs w:val="10"/>
                <w:b w:val="1"/>
                <w:bCs w:val="1"/>
                <w:color w:val="auto"/>
              </w:rPr>
              <w:t>Dec 31, 2025</w:t>
            </w:r>
          </w:p>
        </w:tc>
        <w:tc>
          <w:tcPr>
            <w:tcW w:w="24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367"/>
              <w:spacing w:after="0"/>
              <w:rPr>
                <w:sz w:val="20"/>
                <w:szCs w:val="20"/>
                <w:color w:val="auto"/>
              </w:rPr>
            </w:pPr>
            <w:r>
              <w:rPr>
                <w:rFonts w:ascii="Times New Roman" w:cs="Times New Roman" w:eastAsia="Times New Roman" w:hAnsi="Times New Roman"/>
                <w:sz w:val="10"/>
                <w:szCs w:val="10"/>
                <w:b w:val="1"/>
                <w:bCs w:val="1"/>
                <w:color w:val="auto"/>
              </w:rPr>
              <w:t>Sep 30, 2025</w:t>
            </w:r>
          </w:p>
        </w:tc>
      </w:tr>
      <w:tr>
        <w:trPr>
          <w:trHeight w:val="148"/>
        </w:trPr>
        <w:tc>
          <w:tcPr>
            <w:tcW w:w="4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Shares outstanding</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90,356,578</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91,403,230</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92,881,329</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94,636,207</w:t>
            </w: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95,020,881</w:t>
            </w:r>
          </w:p>
        </w:tc>
      </w:tr>
      <w:tr>
        <w:trPr>
          <w:trHeight w:val="151"/>
        </w:trPr>
        <w:tc>
          <w:tcPr>
            <w:tcW w:w="4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Market value per share</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38.88</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42.54</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36.13</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35.22</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36.89</w:t>
            </w:r>
          </w:p>
        </w:tc>
      </w:tr>
      <w:tr>
        <w:trPr>
          <w:trHeight w:val="155"/>
        </w:trPr>
        <w:tc>
          <w:tcPr>
            <w:tcW w:w="4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Book value per share</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42.41</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42.35</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41.63</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41.05</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40.26</w:t>
            </w:r>
          </w:p>
        </w:tc>
      </w:tr>
      <w:tr>
        <w:trPr>
          <w:trHeight w:val="153"/>
        </w:trPr>
        <w:tc>
          <w:tcPr>
            <w:tcW w:w="4500" w:type="dxa"/>
            <w:vAlign w:val="bottom"/>
          </w:tcPr>
          <w:p>
            <w:pPr>
              <w:ind w:left="80"/>
              <w:spacing w:after="0" w:line="153" w:lineRule="exact"/>
              <w:rPr>
                <w:sz w:val="20"/>
                <w:szCs w:val="20"/>
                <w:color w:val="auto"/>
              </w:rPr>
            </w:pPr>
            <w:r>
              <w:rPr>
                <w:rFonts w:ascii="Times New Roman" w:cs="Times New Roman" w:eastAsia="Times New Roman" w:hAnsi="Times New Roman"/>
                <w:sz w:val="11"/>
                <w:szCs w:val="11"/>
                <w:color w:val="auto"/>
              </w:rPr>
              <w:t>Tangible book value per share (non-GAAP)</w:t>
            </w:r>
            <w:r>
              <w:rPr>
                <w:rFonts w:ascii="Times New Roman" w:cs="Times New Roman" w:eastAsia="Times New Roman" w:hAnsi="Times New Roman"/>
                <w:sz w:val="14"/>
                <w:szCs w:val="14"/>
                <w:color w:val="auto"/>
                <w:vertAlign w:val="superscript"/>
              </w:rPr>
              <w:t>(1)</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25.29</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25.34</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25.00</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24.65</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23.77</w:t>
            </w:r>
          </w:p>
        </w:tc>
      </w:tr>
      <w:tr>
        <w:trPr>
          <w:trHeight w:val="153"/>
        </w:trPr>
        <w:tc>
          <w:tcPr>
            <w:tcW w:w="4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Shareholders’ equity to assets</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13.93 %</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14.34 %</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14.27 %</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14.52 %</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14.31 %</w:t>
            </w:r>
          </w:p>
        </w:tc>
      </w:tr>
      <w:tr>
        <w:trPr>
          <w:trHeight w:val="153"/>
        </w:trPr>
        <w:tc>
          <w:tcPr>
            <w:tcW w:w="4500" w:type="dxa"/>
            <w:vAlign w:val="bottom"/>
          </w:tcPr>
          <w:p>
            <w:pPr>
              <w:ind w:left="80"/>
              <w:spacing w:after="0" w:line="153" w:lineRule="exact"/>
              <w:rPr>
                <w:sz w:val="20"/>
                <w:szCs w:val="20"/>
                <w:color w:val="auto"/>
              </w:rPr>
            </w:pPr>
            <w:r>
              <w:rPr>
                <w:rFonts w:ascii="Times New Roman" w:cs="Times New Roman" w:eastAsia="Times New Roman" w:hAnsi="Times New Roman"/>
                <w:sz w:val="11"/>
                <w:szCs w:val="11"/>
                <w:color w:val="auto"/>
              </w:rPr>
              <w:t>Tangible common equity ratio (non-GAAP)</w:t>
            </w:r>
            <w:r>
              <w:rPr>
                <w:rFonts w:ascii="Times New Roman" w:cs="Times New Roman" w:eastAsia="Times New Roman" w:hAnsi="Times New Roman"/>
                <w:sz w:val="14"/>
                <w:szCs w:val="14"/>
                <w:color w:val="auto"/>
                <w:vertAlign w:val="superscript"/>
              </w:rPr>
              <w:t>(1)</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8.80</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9.10</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9.08</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9.26</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8.98</w:t>
            </w:r>
          </w:p>
        </w:tc>
      </w:tr>
      <w:tr>
        <w:trPr>
          <w:trHeight w:val="153"/>
        </w:trPr>
        <w:tc>
          <w:tcPr>
            <w:tcW w:w="45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1"/>
                <w:szCs w:val="11"/>
                <w:color w:val="auto"/>
              </w:rPr>
              <w:t>Leverage ratio</w:t>
            </w:r>
            <w:r>
              <w:rPr>
                <w:rFonts w:ascii="Times New Roman" w:cs="Times New Roman" w:eastAsia="Times New Roman" w:hAnsi="Times New Roman"/>
                <w:sz w:val="14"/>
                <w:szCs w:val="14"/>
                <w:color w:val="auto"/>
                <w:vertAlign w:val="superscript"/>
              </w:rPr>
              <w:t>(2)</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9.54</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9.55</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9.54</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9.61</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9.46</w:t>
            </w:r>
          </w:p>
        </w:tc>
      </w:tr>
      <w:tr>
        <w:trPr>
          <w:trHeight w:val="153"/>
        </w:trPr>
        <w:tc>
          <w:tcPr>
            <w:tcW w:w="4500" w:type="dxa"/>
            <w:vAlign w:val="bottom"/>
          </w:tcPr>
          <w:p>
            <w:pPr>
              <w:ind w:left="80"/>
              <w:spacing w:after="0" w:line="153" w:lineRule="exact"/>
              <w:rPr>
                <w:sz w:val="20"/>
                <w:szCs w:val="20"/>
                <w:color w:val="auto"/>
              </w:rPr>
            </w:pPr>
            <w:r>
              <w:rPr>
                <w:rFonts w:ascii="Times New Roman" w:cs="Times New Roman" w:eastAsia="Times New Roman" w:hAnsi="Times New Roman"/>
                <w:sz w:val="11"/>
                <w:szCs w:val="11"/>
                <w:color w:val="auto"/>
              </w:rPr>
              <w:t>Common equity tier 1 capital ratio</w:t>
            </w:r>
            <w:r>
              <w:rPr>
                <w:rFonts w:ascii="Times New Roman" w:cs="Times New Roman" w:eastAsia="Times New Roman" w:hAnsi="Times New Roman"/>
                <w:sz w:val="14"/>
                <w:szCs w:val="14"/>
                <w:color w:val="auto"/>
                <w:vertAlign w:val="superscript"/>
              </w:rPr>
              <w:t>(2)</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10.92</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11.06</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11.22</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11.24</w:t>
            </w:r>
          </w:p>
        </w:tc>
        <w:tc>
          <w:tcPr>
            <w:tcW w:w="240" w:type="dxa"/>
            <w:vAlign w:val="bottom"/>
          </w:tcPr>
          <w:p>
            <w:pPr>
              <w:spacing w:after="0"/>
              <w:rPr>
                <w:sz w:val="13"/>
                <w:szCs w:val="13"/>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11.04</w:t>
            </w:r>
          </w:p>
        </w:tc>
      </w:tr>
      <w:tr>
        <w:trPr>
          <w:trHeight w:val="153"/>
        </w:trPr>
        <w:tc>
          <w:tcPr>
            <w:tcW w:w="450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1"/>
                <w:szCs w:val="11"/>
                <w:color w:val="auto"/>
              </w:rPr>
              <w:t>Tier 1 risk-based capital ratio</w:t>
            </w:r>
            <w:r>
              <w:rPr>
                <w:rFonts w:ascii="Times New Roman" w:cs="Times New Roman" w:eastAsia="Times New Roman" w:hAnsi="Times New Roman"/>
                <w:sz w:val="14"/>
                <w:szCs w:val="14"/>
                <w:color w:val="auto"/>
                <w:vertAlign w:val="superscript"/>
              </w:rPr>
              <w:t>(2)</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10.92</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11.06</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11.22</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11.24</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rPr>
              <w:t>11.04</w:t>
            </w:r>
          </w:p>
        </w:tc>
      </w:tr>
      <w:tr>
        <w:trPr>
          <w:trHeight w:val="195"/>
        </w:trPr>
        <w:tc>
          <w:tcPr>
            <w:tcW w:w="45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risk-based capital ratio</w:t>
            </w:r>
            <w:r>
              <w:rPr>
                <w:rFonts w:ascii="Times New Roman" w:cs="Times New Roman" w:eastAsia="Times New Roman" w:hAnsi="Times New Roman"/>
                <w:sz w:val="14"/>
                <w:szCs w:val="14"/>
                <w:color w:val="auto"/>
                <w:vertAlign w:val="superscript"/>
              </w:rPr>
              <w:t>(2)</w:t>
            </w:r>
          </w:p>
        </w:tc>
        <w:tc>
          <w:tcPr>
            <w:tcW w:w="24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15.52</w:t>
            </w:r>
          </w:p>
        </w:tc>
        <w:tc>
          <w:tcPr>
            <w:tcW w:w="24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15.94</w:t>
            </w:r>
          </w:p>
        </w:tc>
        <w:tc>
          <w:tcPr>
            <w:tcW w:w="24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14.77</w:t>
            </w:r>
          </w:p>
        </w:tc>
        <w:tc>
          <w:tcPr>
            <w:tcW w:w="24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14.78</w:t>
            </w:r>
          </w:p>
        </w:tc>
        <w:tc>
          <w:tcPr>
            <w:tcW w:w="240" w:type="dxa"/>
            <w:vAlign w:val="bottom"/>
          </w:tcPr>
          <w:p>
            <w:pPr>
              <w:spacing w:after="0"/>
              <w:rPr>
                <w:sz w:val="16"/>
                <w:szCs w:val="16"/>
                <w:color w:val="auto"/>
              </w:rPr>
            </w:pPr>
          </w:p>
        </w:tc>
        <w:tc>
          <w:tcPr>
            <w:tcW w:w="112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rPr>
              <w:t>14.88</w:t>
            </w:r>
          </w:p>
        </w:tc>
      </w:tr>
    </w:tbl>
    <w:p>
      <w:pPr>
        <w:spacing w:after="0" w:line="169" w:lineRule="exact"/>
        <w:rPr>
          <w:sz w:val="20"/>
          <w:szCs w:val="20"/>
          <w:color w:val="auto"/>
        </w:rPr>
      </w:pPr>
    </w:p>
    <w:p>
      <w:pPr>
        <w:ind w:left="8" w:right="20" w:hanging="8"/>
        <w:spacing w:after="0" w:line="219" w:lineRule="auto"/>
        <w:tabs>
          <w:tab w:leader="none" w:pos="96" w:val="left"/>
        </w:tabs>
        <w:numPr>
          <w:ilvl w:val="0"/>
          <w:numId w:val="1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This is a non-GAAP financial measure. A reconciliation of all non-GAAP financial measures disclosed in this release from GAAP to non-GAAP is included in the tables at the end of this release. The information below under the heading “Non-GAAP Financial Measures” explains why the Company believes the non-GAAP financial measures in this release provide useful information and describes the other purposes for which the Company uses non-GAAP financial measures.</w:t>
      </w:r>
    </w:p>
    <w:p>
      <w:pPr>
        <w:spacing w:after="0" w:line="153" w:lineRule="exact"/>
        <w:rPr>
          <w:rFonts w:ascii="Times New Roman" w:cs="Times New Roman" w:eastAsia="Times New Roman" w:hAnsi="Times New Roman"/>
          <w:sz w:val="12"/>
          <w:szCs w:val="12"/>
          <w:color w:val="auto"/>
          <w:vertAlign w:val="superscript"/>
        </w:rPr>
      </w:pPr>
    </w:p>
    <w:p>
      <w:pPr>
        <w:ind w:left="88" w:hanging="88"/>
        <w:spacing w:after="0"/>
        <w:tabs>
          <w:tab w:leader="none" w:pos="88" w:val="left"/>
        </w:tabs>
        <w:numPr>
          <w:ilvl w:val="0"/>
          <w:numId w:val="10"/>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Preliminary</w:t>
      </w:r>
    </w:p>
    <w:p>
      <w:pPr>
        <w:spacing w:after="0" w:line="3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8"/>
          </w:cols>
          <w:pgMar w:left="292" w:top="661"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i w:val="1"/>
          <w:iCs w:val="1"/>
          <w:color w:val="auto"/>
        </w:rPr>
        <w:t>Noninterest Income and Noninterest Expense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70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w:t>
            </w: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33"/>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Sep 30, 2026</w:t>
            </w:r>
          </w:p>
        </w:tc>
        <w:tc>
          <w:tcPr>
            <w:tcW w:w="140" w:type="dxa"/>
            <w:vAlign w:val="bottom"/>
          </w:tcPr>
          <w:p>
            <w:pPr>
              <w:spacing w:after="0"/>
              <w:rPr>
                <w:sz w:val="11"/>
                <w:szCs w:val="11"/>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Jun 30, 2026</w:t>
            </w:r>
          </w:p>
        </w:tc>
        <w:tc>
          <w:tcPr>
            <w:tcW w:w="140" w:type="dxa"/>
            <w:vAlign w:val="bottom"/>
          </w:tcPr>
          <w:p>
            <w:pPr>
              <w:spacing w:after="0"/>
              <w:rPr>
                <w:sz w:val="11"/>
                <w:szCs w:val="11"/>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Mar 31, 2026</w:t>
            </w:r>
          </w:p>
        </w:tc>
        <w:tc>
          <w:tcPr>
            <w:tcW w:w="140" w:type="dxa"/>
            <w:vAlign w:val="bottom"/>
          </w:tcPr>
          <w:p>
            <w:pPr>
              <w:spacing w:after="0"/>
              <w:rPr>
                <w:sz w:val="11"/>
                <w:szCs w:val="11"/>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Dec 31, 2025</w:t>
            </w:r>
          </w:p>
        </w:tc>
        <w:tc>
          <w:tcPr>
            <w:tcW w:w="140" w:type="dxa"/>
            <w:vAlign w:val="bottom"/>
          </w:tcPr>
          <w:p>
            <w:pPr>
              <w:spacing w:after="0"/>
              <w:rPr>
                <w:sz w:val="11"/>
                <w:szCs w:val="1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Sep 30, 2025</w:t>
            </w:r>
          </w:p>
        </w:tc>
        <w:tc>
          <w:tcPr>
            <w:tcW w:w="120" w:type="dxa"/>
            <w:vAlign w:val="bottom"/>
          </w:tcPr>
          <w:p>
            <w:pPr>
              <w:spacing w:after="0"/>
              <w:rPr>
                <w:sz w:val="11"/>
                <w:szCs w:val="11"/>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Sep 30, 2026</w:t>
            </w:r>
          </w:p>
        </w:tc>
        <w:tc>
          <w:tcPr>
            <w:tcW w:w="160" w:type="dxa"/>
            <w:vAlign w:val="bottom"/>
          </w:tcPr>
          <w:p>
            <w:pPr>
              <w:spacing w:after="0"/>
              <w:rPr>
                <w:sz w:val="11"/>
                <w:szCs w:val="11"/>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0"/>
                <w:szCs w:val="10"/>
                <w:b w:val="1"/>
                <w:bCs w:val="1"/>
                <w:color w:val="auto"/>
              </w:rPr>
              <w:t>Sep 30, 2025</w:t>
            </w:r>
          </w:p>
        </w:tc>
      </w:tr>
      <w:tr>
        <w:trPr>
          <w:trHeight w:val="133"/>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Noninterest income</w:t>
            </w: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r>
      <w:tr>
        <w:trPr>
          <w:trHeight w:val="135"/>
        </w:trPr>
        <w:tc>
          <w:tcPr>
            <w:tcW w:w="4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Service charges on deposit accounts</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15,270</w:t>
            </w: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14,516</w:t>
            </w: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14,740</w:t>
            </w: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14,535</w:t>
            </w: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13,416</w:t>
            </w:r>
          </w:p>
        </w:tc>
        <w:tc>
          <w:tcPr>
            <w:tcW w:w="16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44,526</w:t>
            </w:r>
          </w:p>
        </w:tc>
        <w:tc>
          <w:tcPr>
            <w:tcW w:w="1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37,398</w:t>
            </w:r>
          </w:p>
        </w:tc>
      </w:tr>
      <w:tr>
        <w:trPr>
          <w:trHeight w:val="153"/>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Fees and commissions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4,942</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5,471</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4,654</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5,192</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4,167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15,067</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14,604</w:t>
            </w:r>
          </w:p>
        </w:tc>
      </w:tr>
      <w:tr>
        <w:trPr>
          <w:trHeight w:val="136"/>
        </w:trPr>
        <w:tc>
          <w:tcPr>
            <w:tcW w:w="4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Wealth management revenue</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9,211</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9,073</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8,678</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8,572</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8,217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26,962</w:t>
            </w:r>
          </w:p>
        </w:tc>
        <w:tc>
          <w:tcPr>
            <w:tcW w:w="16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22,629</w:t>
            </w:r>
          </w:p>
        </w:tc>
      </w:tr>
      <w:tr>
        <w:trPr>
          <w:trHeight w:val="153"/>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Mortgage banking income</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7,323</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9,178</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9,435</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8,924</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9,017</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25,936</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28,427</w:t>
            </w:r>
          </w:p>
        </w:tc>
      </w:tr>
      <w:tr>
        <w:trPr>
          <w:trHeight w:val="136"/>
        </w:trPr>
        <w:tc>
          <w:tcPr>
            <w:tcW w:w="4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BOLI income</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4,045</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4,608</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3,689</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3,697</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4,235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12,342</w:t>
            </w:r>
          </w:p>
        </w:tc>
        <w:tc>
          <w:tcPr>
            <w:tcW w:w="16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10,547</w:t>
            </w:r>
          </w:p>
        </w:tc>
      </w:tr>
      <w:tr>
        <w:trPr>
          <w:trHeight w:val="144"/>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w:t>
            </w: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8,484</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8,344</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9,076</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10,205</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6,974</w:t>
            </w: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25,904</w:t>
            </w: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17,150</w:t>
            </w:r>
          </w:p>
        </w:tc>
      </w:tr>
      <w:tr>
        <w:trPr>
          <w:trHeight w:val="158"/>
        </w:trPr>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Total noninterest income</w:t>
            </w: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49,275</w:t>
            </w:r>
          </w:p>
        </w:tc>
        <w:tc>
          <w:tcPr>
            <w:tcW w:w="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51,190</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50,272</w:t>
            </w:r>
          </w:p>
        </w:tc>
        <w:tc>
          <w:tcPr>
            <w:tcW w:w="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51,125</w:t>
            </w:r>
          </w:p>
        </w:tc>
        <w:tc>
          <w:tcPr>
            <w:tcW w:w="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46,026</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150,737</w:t>
            </w:r>
          </w:p>
        </w:tc>
        <w:tc>
          <w:tcPr>
            <w:tcW w:w="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130,755</w:t>
            </w:r>
          </w:p>
        </w:tc>
      </w:tr>
      <w:tr>
        <w:trPr>
          <w:trHeight w:val="126"/>
        </w:trPr>
        <w:tc>
          <w:tcPr>
            <w:tcW w:w="470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0"/>
                <w:szCs w:val="10"/>
                <w:b w:val="1"/>
                <w:bCs w:val="1"/>
                <w:color w:val="auto"/>
              </w:rPr>
              <w:t>Noninterest expense</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36"/>
        </w:trPr>
        <w:tc>
          <w:tcPr>
            <w:tcW w:w="4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Salaries and employee benefits</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95,871</w:t>
            </w: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96,228</w:t>
            </w: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91,749</w:t>
            </w: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98,082</w:t>
            </w:r>
          </w:p>
        </w:tc>
        <w:tc>
          <w:tcPr>
            <w:tcW w:w="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98,982</w:t>
            </w:r>
          </w:p>
        </w:tc>
        <w:tc>
          <w:tcPr>
            <w:tcW w:w="160" w:type="dxa"/>
            <w:vAlign w:val="bottom"/>
          </w:tcPr>
          <w:p>
            <w:pPr>
              <w:spacing w:after="0"/>
              <w:rPr>
                <w:sz w:val="11"/>
                <w:szCs w:val="11"/>
                <w:color w:val="auto"/>
              </w:rPr>
            </w:pPr>
          </w:p>
        </w:tc>
        <w:tc>
          <w:tcPr>
            <w:tcW w:w="1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283,848</w:t>
            </w:r>
          </w:p>
        </w:tc>
        <w:tc>
          <w:tcPr>
            <w:tcW w:w="1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270,481</w:t>
            </w:r>
          </w:p>
        </w:tc>
      </w:tr>
      <w:tr>
        <w:trPr>
          <w:trHeight w:val="153"/>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Data processing</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5,411</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5,037</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5,221</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5,636</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5,541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15,669</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15,068</w:t>
            </w:r>
          </w:p>
        </w:tc>
      </w:tr>
      <w:tr>
        <w:trPr>
          <w:trHeight w:val="136"/>
        </w:trPr>
        <w:tc>
          <w:tcPr>
            <w:tcW w:w="4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Net occupancy and equipment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18,016</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18,018</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18,031</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16,123</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18,415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54,065</w:t>
            </w:r>
          </w:p>
        </w:tc>
        <w:tc>
          <w:tcPr>
            <w:tcW w:w="16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47,528</w:t>
            </w:r>
          </w:p>
        </w:tc>
      </w:tr>
      <w:tr>
        <w:trPr>
          <w:trHeight w:val="152"/>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real estate owned</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453</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1,399</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481</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2,218</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1,170</w:t>
            </w:r>
          </w:p>
        </w:tc>
      </w:tr>
      <w:tr>
        <w:trPr>
          <w:trHeight w:val="136"/>
        </w:trPr>
        <w:tc>
          <w:tcPr>
            <w:tcW w:w="4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Professional fees</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3,935</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4,518</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4,402</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4,327</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3,435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12,855</w:t>
            </w:r>
          </w:p>
        </w:tc>
        <w:tc>
          <w:tcPr>
            <w:tcW w:w="16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10,542</w:t>
            </w:r>
          </w:p>
        </w:tc>
      </w:tr>
      <w:tr>
        <w:trPr>
          <w:trHeight w:val="153"/>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Advertising and public relations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4,945</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4,677</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4,599</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4,314</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5,254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14,221</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14,041</w:t>
            </w:r>
          </w:p>
        </w:tc>
      </w:tr>
      <w:tr>
        <w:trPr>
          <w:trHeight w:val="136"/>
        </w:trPr>
        <w:tc>
          <w:tcPr>
            <w:tcW w:w="4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Intangible amortization</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8,332</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8,370</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8,220</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8,465</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24,922</w:t>
            </w:r>
          </w:p>
        </w:tc>
        <w:tc>
          <w:tcPr>
            <w:tcW w:w="16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18,638</w:t>
            </w:r>
          </w:p>
        </w:tc>
      </w:tr>
      <w:tr>
        <w:trPr>
          <w:trHeight w:val="153"/>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Communications</w:t>
            </w: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3,389</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3,566</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4,009</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4,493</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3,955</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10,964</w:t>
            </w: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9,172</w:t>
            </w:r>
          </w:p>
        </w:tc>
      </w:tr>
      <w:tr>
        <w:trPr>
          <w:trHeight w:val="135"/>
        </w:trPr>
        <w:tc>
          <w:tcPr>
            <w:tcW w:w="470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Merger and conversion related expenses</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10,567</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17,494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38,764</w:t>
            </w:r>
          </w:p>
        </w:tc>
      </w:tr>
      <w:tr>
        <w:trPr>
          <w:trHeight w:val="144"/>
        </w:trPr>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w:t>
            </w: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20,069</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20,634</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17,698</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18,262</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21,752</w:t>
            </w: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58,401</w:t>
            </w: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55,506</w:t>
            </w:r>
          </w:p>
        </w:tc>
      </w:tr>
      <w:tr>
        <w:trPr>
          <w:trHeight w:val="142"/>
        </w:trPr>
        <w:tc>
          <w:tcPr>
            <w:tcW w:w="4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noninterest expense</w:t>
            </w: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160,334</w:t>
            </w:r>
          </w:p>
        </w:tc>
        <w:tc>
          <w:tcPr>
            <w:tcW w:w="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161,501</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155,328</w:t>
            </w:r>
          </w:p>
        </w:tc>
        <w:tc>
          <w:tcPr>
            <w:tcW w:w="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170,750</w:t>
            </w:r>
          </w:p>
        </w:tc>
        <w:tc>
          <w:tcPr>
            <w:tcW w:w="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183,830</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477,163</w:t>
            </w:r>
          </w:p>
        </w:tc>
        <w:tc>
          <w:tcPr>
            <w:tcW w:w="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480,910</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Mortgage Banking Income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72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33"/>
        </w:trPr>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Sep 30, 2026</w:t>
            </w:r>
          </w:p>
        </w:tc>
        <w:tc>
          <w:tcPr>
            <w:tcW w:w="140" w:type="dxa"/>
            <w:vAlign w:val="bottom"/>
          </w:tcPr>
          <w:p>
            <w:pPr>
              <w:spacing w:after="0"/>
              <w:rPr>
                <w:sz w:val="11"/>
                <w:szCs w:val="11"/>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Jun 30, 2026</w:t>
            </w:r>
          </w:p>
        </w:tc>
        <w:tc>
          <w:tcPr>
            <w:tcW w:w="140" w:type="dxa"/>
            <w:vAlign w:val="bottom"/>
          </w:tcPr>
          <w:p>
            <w:pPr>
              <w:spacing w:after="0"/>
              <w:rPr>
                <w:sz w:val="11"/>
                <w:szCs w:val="11"/>
                <w:color w:val="auto"/>
              </w:rPr>
            </w:pP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Mar 31, 2026</w:t>
            </w:r>
          </w:p>
        </w:tc>
        <w:tc>
          <w:tcPr>
            <w:tcW w:w="140" w:type="dxa"/>
            <w:vAlign w:val="bottom"/>
          </w:tcPr>
          <w:p>
            <w:pPr>
              <w:spacing w:after="0"/>
              <w:rPr>
                <w:sz w:val="11"/>
                <w:szCs w:val="11"/>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Dec 31, 2025</w:t>
            </w:r>
          </w:p>
        </w:tc>
        <w:tc>
          <w:tcPr>
            <w:tcW w:w="140" w:type="dxa"/>
            <w:vAlign w:val="bottom"/>
          </w:tcPr>
          <w:p>
            <w:pPr>
              <w:spacing w:after="0"/>
              <w:rPr>
                <w:sz w:val="11"/>
                <w:szCs w:val="1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Sep 30, 2025</w:t>
            </w:r>
          </w:p>
        </w:tc>
        <w:tc>
          <w:tcPr>
            <w:tcW w:w="120" w:type="dxa"/>
            <w:vAlign w:val="bottom"/>
          </w:tcPr>
          <w:p>
            <w:pPr>
              <w:spacing w:after="0"/>
              <w:rPr>
                <w:sz w:val="11"/>
                <w:szCs w:val="11"/>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Sep 30, 2026</w:t>
            </w:r>
          </w:p>
        </w:tc>
        <w:tc>
          <w:tcPr>
            <w:tcW w:w="160" w:type="dxa"/>
            <w:vAlign w:val="bottom"/>
          </w:tcPr>
          <w:p>
            <w:pPr>
              <w:spacing w:after="0"/>
              <w:rPr>
                <w:sz w:val="11"/>
                <w:szCs w:val="11"/>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Sep 30, 2025</w:t>
            </w:r>
          </w:p>
        </w:tc>
      </w:tr>
      <w:tr>
        <w:trPr>
          <w:trHeight w:val="141"/>
        </w:trPr>
        <w:tc>
          <w:tcPr>
            <w:tcW w:w="47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Gain on sales of loans, net</w:t>
            </w:r>
            <w:r>
              <w:rPr>
                <w:rFonts w:ascii="Times New Roman" w:cs="Times New Roman" w:eastAsia="Times New Roman" w:hAnsi="Times New Roman"/>
                <w:sz w:val="12"/>
                <w:szCs w:val="12"/>
                <w:color w:val="auto"/>
                <w:vertAlign w:val="superscript"/>
              </w:rPr>
              <w:t>(1)</w:t>
            </w: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2,390</w:t>
            </w: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4,760</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5,305</w:t>
            </w: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5,243</w:t>
            </w: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5,270</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12,455</w:t>
            </w:r>
          </w:p>
        </w:tc>
        <w:tc>
          <w:tcPr>
            <w:tcW w:w="1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15,086</w:t>
            </w:r>
          </w:p>
        </w:tc>
      </w:tr>
      <w:tr>
        <w:trPr>
          <w:trHeight w:val="136"/>
        </w:trPr>
        <w:tc>
          <w:tcPr>
            <w:tcW w:w="47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Fees, net</w:t>
            </w: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2,945</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3,470</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2,842</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2,970</w:t>
            </w:r>
          </w:p>
        </w:tc>
        <w:tc>
          <w:tcPr>
            <w:tcW w:w="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9,257</w:t>
            </w:r>
          </w:p>
        </w:tc>
        <w:tc>
          <w:tcPr>
            <w:tcW w:w="160" w:type="dxa"/>
            <w:vAlign w:val="bottom"/>
          </w:tcPr>
          <w:p>
            <w:pPr>
              <w:spacing w:after="0"/>
              <w:rPr>
                <w:sz w:val="11"/>
                <w:szCs w:val="1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9,107</w:t>
            </w:r>
          </w:p>
        </w:tc>
      </w:tr>
      <w:tr>
        <w:trPr>
          <w:trHeight w:val="144"/>
        </w:trPr>
        <w:tc>
          <w:tcPr>
            <w:tcW w:w="4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Mortgage servicing income, net</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1,988</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948</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1,288</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711</w:t>
            </w: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697</w:t>
            </w: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4,224</w:t>
            </w: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4,234</w:t>
            </w:r>
          </w:p>
        </w:tc>
      </w:tr>
      <w:tr>
        <w:trPr>
          <w:trHeight w:val="141"/>
        </w:trPr>
        <w:tc>
          <w:tcPr>
            <w:tcW w:w="47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Total mortgage banking income</w:t>
            </w: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7,323</w:t>
            </w:r>
          </w:p>
        </w:tc>
        <w:tc>
          <w:tcPr>
            <w:tcW w:w="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9,178</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9,435</w:t>
            </w:r>
          </w:p>
        </w:tc>
        <w:tc>
          <w:tcPr>
            <w:tcW w:w="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8,924</w:t>
            </w:r>
          </w:p>
        </w:tc>
        <w:tc>
          <w:tcPr>
            <w:tcW w:w="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9,017</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25,936</w:t>
            </w:r>
          </w:p>
        </w:tc>
        <w:tc>
          <w:tcPr>
            <w:tcW w:w="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28,427</w:t>
            </w: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ind w:left="140" w:hanging="121"/>
        <w:spacing w:after="0"/>
        <w:tabs>
          <w:tab w:leader="none" w:pos="140" w:val="left"/>
        </w:tabs>
        <w:numPr>
          <w:ilvl w:val="0"/>
          <w:numId w:val="1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Gain on sales of loans, net includes pipeline fair value adjustments</w:t>
      </w: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661"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i w:val="1"/>
          <w:iCs w:val="1"/>
          <w:color w:val="auto"/>
        </w:rPr>
        <w:t>Balance Sheet</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60" w:type="dxa"/>
            <w:vAlign w:val="bottom"/>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As of</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Sep 30, 2026</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Jun 30, 2026</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Mar 31, 2026</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Dec 31, 2025</w:t>
            </w: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Sep 30, 2025</w:t>
            </w:r>
          </w:p>
        </w:tc>
      </w:tr>
      <w:tr>
        <w:trPr>
          <w:trHeight w:val="135"/>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51"/>
        </w:trPr>
        <w:tc>
          <w:tcPr>
            <w:tcW w:w="4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734,518</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881,203</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1,216,980</w:t>
            </w: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1,070,718</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1,083,785</w:t>
            </w:r>
          </w:p>
        </w:tc>
      </w:tr>
      <w:tr>
        <w:trPr>
          <w:trHeight w:val="155"/>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Securities held to maturity, at amortized cost</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956,981</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983,032</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1,006,511</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1,030,073</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1,051,884</w:t>
            </w:r>
          </w:p>
        </w:tc>
      </w:tr>
      <w:tr>
        <w:trPr>
          <w:trHeight w:val="151"/>
        </w:trPr>
        <w:tc>
          <w:tcPr>
            <w:tcW w:w="4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Securities available for sale, at fair value</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2,835,332</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2,842,424</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2,809,647</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2,560,818</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2,512,650</w:t>
            </w:r>
          </w:p>
        </w:tc>
      </w:tr>
      <w:tr>
        <w:trPr>
          <w:trHeight w:val="155"/>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Loans held for sale, at fair value</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200,709</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241,588</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230,980</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265,959</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286,779</w:t>
            </w:r>
          </w:p>
        </w:tc>
      </w:tr>
      <w:tr>
        <w:trPr>
          <w:trHeight w:val="151"/>
        </w:trPr>
        <w:tc>
          <w:tcPr>
            <w:tcW w:w="4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Loans held for investment</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19,752,119</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19,196,172</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18,975,248</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19,047,039</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19,025,521</w:t>
            </w:r>
          </w:p>
        </w:tc>
      </w:tr>
      <w:tr>
        <w:trPr>
          <w:trHeight w:val="153"/>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Allowance for credit losses on loans</w:t>
            </w: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(296,094)</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(296,008)</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(295,862)</w:t>
            </w: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(293,955)</w:t>
            </w: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(297,591)</w:t>
            </w:r>
          </w:p>
        </w:tc>
      </w:tr>
      <w:tr>
        <w:trPr>
          <w:trHeight w:val="142"/>
        </w:trPr>
        <w:tc>
          <w:tcPr>
            <w:tcW w:w="4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Loans, net</w:t>
            </w:r>
          </w:p>
        </w:tc>
        <w:tc>
          <w:tcPr>
            <w:tcW w:w="2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19,456,025</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18,900,164</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18,679,386</w:t>
            </w:r>
          </w:p>
        </w:tc>
        <w:tc>
          <w:tcPr>
            <w:tcW w:w="22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18,753,084</w:t>
            </w:r>
          </w:p>
        </w:tc>
        <w:tc>
          <w:tcPr>
            <w:tcW w:w="220" w:type="dxa"/>
            <w:vAlign w:val="bottom"/>
          </w:tcPr>
          <w:p>
            <w:pPr>
              <w:spacing w:after="0"/>
              <w:rPr>
                <w:sz w:val="12"/>
                <w:szCs w:val="12"/>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18,727,930</w:t>
            </w:r>
          </w:p>
        </w:tc>
      </w:tr>
      <w:tr>
        <w:trPr>
          <w:trHeight w:val="155"/>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Premises and equipment, net</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465,502</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464,020</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463,723</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465,141</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471,213</w:t>
            </w:r>
          </w:p>
        </w:tc>
      </w:tr>
      <w:tr>
        <w:trPr>
          <w:trHeight w:val="151"/>
        </w:trPr>
        <w:tc>
          <w:tcPr>
            <w:tcW w:w="4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 real estate owned</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15,662</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15,571</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12,954</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15,191</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10,578</w:t>
            </w:r>
          </w:p>
        </w:tc>
      </w:tr>
      <w:tr>
        <w:trPr>
          <w:trHeight w:val="155"/>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1,417,538</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1,417,538</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1,406,667</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1,405,840</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1,411,711</w:t>
            </w:r>
          </w:p>
        </w:tc>
      </w:tr>
      <w:tr>
        <w:trPr>
          <w:trHeight w:val="151"/>
        </w:trPr>
        <w:tc>
          <w:tcPr>
            <w:tcW w:w="4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 intangibles</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129,690</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138,022</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138,392</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146,612</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155,077</w:t>
            </w:r>
          </w:p>
        </w:tc>
      </w:tr>
      <w:tr>
        <w:trPr>
          <w:trHeight w:val="155"/>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Bank-owned life insurance</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498,298</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495,235</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494,874</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492,541</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488,920</w:t>
            </w:r>
          </w:p>
        </w:tc>
      </w:tr>
      <w:tr>
        <w:trPr>
          <w:trHeight w:val="151"/>
        </w:trPr>
        <w:tc>
          <w:tcPr>
            <w:tcW w:w="4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Mortgage servicing rights</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67,129</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65,816</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64,850</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65,271</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65,466</w:t>
            </w:r>
          </w:p>
        </w:tc>
      </w:tr>
      <w:tr>
        <w:trPr>
          <w:trHeight w:val="153"/>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assets</w:t>
            </w: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740,797</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560,386</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582,310</w:t>
            </w: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480,178</w:t>
            </w: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460,172</w:t>
            </w:r>
          </w:p>
        </w:tc>
      </w:tr>
      <w:tr>
        <w:trPr>
          <w:trHeight w:val="160"/>
        </w:trPr>
        <w:tc>
          <w:tcPr>
            <w:tcW w:w="4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27,518,181</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27,004,999</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27,107,274</w:t>
            </w: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26,751,426</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26,726,165</w:t>
            </w:r>
          </w:p>
        </w:tc>
      </w:tr>
      <w:tr>
        <w:trPr>
          <w:trHeight w:val="153"/>
        </w:trPr>
        <w:tc>
          <w:tcPr>
            <w:tcW w:w="4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49"/>
        </w:trPr>
        <w:tc>
          <w:tcPr>
            <w:tcW w:w="4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Liabilities and Shareholders’ Equity</w:t>
            </w: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2"/>
        </w:trPr>
        <w:tc>
          <w:tcPr>
            <w:tcW w:w="4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1"/>
        </w:trPr>
        <w:tc>
          <w:tcPr>
            <w:tcW w:w="4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Deposits:</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5"/>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Noninterest-bearing</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5,001,023</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5,038,070</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5,183,426</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5,043,960</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5,238,431</w:t>
            </w:r>
          </w:p>
        </w:tc>
      </w:tr>
      <w:tr>
        <w:trPr>
          <w:trHeight w:val="151"/>
        </w:trPr>
        <w:tc>
          <w:tcPr>
            <w:tcW w:w="4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Interest-bearing</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16,626,835</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16,662,982</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16,916,058</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16,429,110</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16,186,124</w:t>
            </w:r>
          </w:p>
        </w:tc>
      </w:tr>
      <w:tr>
        <w:trPr>
          <w:trHeight w:val="144"/>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deposits</w:t>
            </w: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21,627,858</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21,701,052</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22,099,484</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21,473,070</w:t>
            </w: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21,424,555</w:t>
            </w:r>
          </w:p>
        </w:tc>
      </w:tr>
      <w:tr>
        <w:trPr>
          <w:trHeight w:val="151"/>
        </w:trPr>
        <w:tc>
          <w:tcPr>
            <w:tcW w:w="4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Short-term borrowings</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806,481</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315,225</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305,863</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555,774</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606,063</w:t>
            </w:r>
          </w:p>
        </w:tc>
      </w:tr>
      <w:tr>
        <w:trPr>
          <w:trHeight w:val="155"/>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Long-term debt</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754,834</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796,469</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500,342</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499,756</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558,878</w:t>
            </w:r>
          </w:p>
        </w:tc>
      </w:tr>
      <w:tr>
        <w:trPr>
          <w:trHeight w:val="151"/>
        </w:trPr>
        <w:tc>
          <w:tcPr>
            <w:tcW w:w="4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Other liabilities</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496,908</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320,875</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334,667</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337,921</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310,891</w:t>
            </w:r>
          </w:p>
        </w:tc>
      </w:tr>
      <w:tr>
        <w:trPr>
          <w:trHeight w:val="144"/>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23,686,081</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23,133,621</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23,240,356</w:t>
            </w:r>
          </w:p>
        </w:tc>
        <w:tc>
          <w:tcPr>
            <w:tcW w:w="2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22,866,521</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22,900,387</w:t>
            </w:r>
          </w:p>
        </w:tc>
      </w:tr>
      <w:tr>
        <w:trPr>
          <w:trHeight w:val="180"/>
        </w:trPr>
        <w:tc>
          <w:tcPr>
            <w:tcW w:w="4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51"/>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2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shd w:val="clear" w:color="auto" w:fill="CCEEFF"/>
          </w:tcPr>
          <w:p>
            <w:pPr>
              <w:spacing w:after="0"/>
              <w:rPr>
                <w:sz w:val="13"/>
                <w:szCs w:val="13"/>
                <w:color w:val="auto"/>
              </w:rPr>
            </w:pPr>
          </w:p>
        </w:tc>
      </w:tr>
      <w:tr>
        <w:trPr>
          <w:trHeight w:val="151"/>
        </w:trPr>
        <w:tc>
          <w:tcPr>
            <w:tcW w:w="4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488,612</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488,612</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488,612</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488,612</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488,612</w:t>
            </w:r>
          </w:p>
        </w:tc>
      </w:tr>
      <w:tr>
        <w:trPr>
          <w:trHeight w:val="155"/>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Treasury stock</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(275,384)</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(232,402)</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(173,835)</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(103,494)</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(90,297)</w:t>
            </w:r>
          </w:p>
        </w:tc>
      </w:tr>
      <w:tr>
        <w:trPr>
          <w:trHeight w:val="151"/>
        </w:trPr>
        <w:tc>
          <w:tcPr>
            <w:tcW w:w="4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2,394,732</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2,390,839</w:t>
            </w: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2,388,649</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2,392,997</w:t>
            </w:r>
          </w:p>
        </w:tc>
        <w:tc>
          <w:tcPr>
            <w:tcW w:w="220" w:type="dxa"/>
            <w:vAlign w:val="bottom"/>
          </w:tcPr>
          <w:p>
            <w:pPr>
              <w:spacing w:after="0"/>
              <w:rPr>
                <w:sz w:val="13"/>
                <w:szCs w:val="13"/>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2,389,033</w:t>
            </w:r>
          </w:p>
        </w:tc>
      </w:tr>
      <w:tr>
        <w:trPr>
          <w:trHeight w:val="155"/>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1,384,885</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1,327,997</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1,263,116</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1,196,522</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1,139,600</w:t>
            </w:r>
          </w:p>
        </w:tc>
      </w:tr>
      <w:tr>
        <w:trPr>
          <w:trHeight w:val="151"/>
        </w:trPr>
        <w:tc>
          <w:tcPr>
            <w:tcW w:w="4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(160,745)</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(103,668)</w:t>
            </w: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(99,624)</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(89,732)</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(101,170)</w:t>
            </w:r>
          </w:p>
        </w:tc>
      </w:tr>
      <w:tr>
        <w:trPr>
          <w:trHeight w:val="153"/>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shareholders’ equity</w:t>
            </w:r>
          </w:p>
        </w:tc>
        <w:tc>
          <w:tcPr>
            <w:tcW w:w="2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3,832,100</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3,871,378</w:t>
            </w: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3,866,918</w:t>
            </w: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3,884,905</w:t>
            </w:r>
          </w:p>
        </w:tc>
        <w:tc>
          <w:tcPr>
            <w:tcW w:w="2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3,825,778</w:t>
            </w:r>
          </w:p>
        </w:tc>
      </w:tr>
      <w:tr>
        <w:trPr>
          <w:trHeight w:val="140"/>
        </w:trPr>
        <w:tc>
          <w:tcPr>
            <w:tcW w:w="47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liabilities and shareholders’ equity</w:t>
            </w: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27,518,181</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27,004,999</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27,107,274</w:t>
            </w:r>
          </w:p>
        </w:tc>
        <w:tc>
          <w:tcPr>
            <w:tcW w:w="2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26,751,426</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26,726,165</w:t>
            </w:r>
          </w:p>
        </w:tc>
      </w:tr>
      <w:tr>
        <w:trPr>
          <w:trHeight w:val="20"/>
        </w:trPr>
        <w:tc>
          <w:tcPr>
            <w:tcW w:w="4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823" w:right="29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Net Interest Income and Net Interest Margin</w:t>
      </w:r>
    </w:p>
    <w:p>
      <w:pPr>
        <w:spacing w:after="0" w:line="213"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w:t>
            </w: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9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September 30, 2026</w:t>
            </w:r>
          </w:p>
        </w:tc>
        <w:tc>
          <w:tcPr>
            <w:tcW w:w="9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w w:val="92"/>
              </w:rPr>
              <w:t>June 30, 2026</w:t>
            </w:r>
          </w:p>
        </w:tc>
        <w:tc>
          <w:tcPr>
            <w:tcW w:w="9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0"/>
                <w:szCs w:val="10"/>
                <w:b w:val="1"/>
                <w:bCs w:val="1"/>
                <w:color w:val="auto"/>
              </w:rPr>
              <w:t>September 30, 2025</w:t>
            </w:r>
          </w:p>
        </w:tc>
        <w:tc>
          <w:tcPr>
            <w:tcW w:w="9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160" w:type="dxa"/>
            <w:vAlign w:val="bottom"/>
          </w:tcPr>
          <w:p>
            <w:pPr>
              <w:spacing w:after="0"/>
              <w:rPr>
                <w:sz w:val="8"/>
                <w:szCs w:val="8"/>
                <w:color w:val="auto"/>
              </w:rPr>
            </w:pPr>
          </w:p>
        </w:tc>
        <w:tc>
          <w:tcPr>
            <w:tcW w:w="740" w:type="dxa"/>
            <w:vAlign w:val="bottom"/>
          </w:tcPr>
          <w:p>
            <w:pPr>
              <w:jc w:val="center"/>
              <w:ind w:right="112"/>
              <w:spacing w:after="0" w:line="97" w:lineRule="exact"/>
              <w:rPr>
                <w:sz w:val="20"/>
                <w:szCs w:val="20"/>
                <w:color w:val="auto"/>
              </w:rPr>
            </w:pPr>
            <w:r>
              <w:rPr>
                <w:rFonts w:ascii="Times New Roman" w:cs="Times New Roman" w:eastAsia="Times New Roman" w:hAnsi="Times New Roman"/>
                <w:sz w:val="10"/>
                <w:szCs w:val="10"/>
                <w:b w:val="1"/>
                <w:bCs w:val="1"/>
                <w:color w:val="auto"/>
                <w:w w:val="89"/>
              </w:rPr>
              <w:t>Interest</w:t>
            </w:r>
          </w:p>
        </w:tc>
        <w:tc>
          <w:tcPr>
            <w:tcW w:w="11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Yield/</w:t>
            </w:r>
          </w:p>
        </w:tc>
        <w:tc>
          <w:tcPr>
            <w:tcW w:w="88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80" w:type="dxa"/>
            <w:vAlign w:val="bottom"/>
          </w:tcPr>
          <w:p>
            <w:pPr>
              <w:spacing w:after="0"/>
              <w:rPr>
                <w:sz w:val="8"/>
                <w:szCs w:val="8"/>
                <w:color w:val="auto"/>
              </w:rPr>
            </w:pPr>
          </w:p>
        </w:tc>
        <w:tc>
          <w:tcPr>
            <w:tcW w:w="840" w:type="dxa"/>
            <w:vAlign w:val="bottom"/>
          </w:tcPr>
          <w:p>
            <w:pPr>
              <w:jc w:val="center"/>
              <w:ind w:right="32"/>
              <w:spacing w:after="0" w:line="97" w:lineRule="exact"/>
              <w:rPr>
                <w:sz w:val="20"/>
                <w:szCs w:val="20"/>
                <w:color w:val="auto"/>
              </w:rPr>
            </w:pPr>
            <w:r>
              <w:rPr>
                <w:rFonts w:ascii="Times New Roman" w:cs="Times New Roman" w:eastAsia="Times New Roman" w:hAnsi="Times New Roman"/>
                <w:sz w:val="10"/>
                <w:szCs w:val="10"/>
                <w:b w:val="1"/>
                <w:bCs w:val="1"/>
                <w:color w:val="auto"/>
                <w:w w:val="95"/>
              </w:rPr>
              <w:t>Interest</w:t>
            </w:r>
          </w:p>
        </w:tc>
        <w:tc>
          <w:tcPr>
            <w:tcW w:w="11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Yield/</w:t>
            </w:r>
          </w:p>
        </w:tc>
        <w:tc>
          <w:tcPr>
            <w:tcW w:w="90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160" w:type="dxa"/>
            <w:vAlign w:val="bottom"/>
          </w:tcPr>
          <w:p>
            <w:pPr>
              <w:spacing w:after="0"/>
              <w:rPr>
                <w:sz w:val="8"/>
                <w:szCs w:val="8"/>
                <w:color w:val="auto"/>
              </w:rPr>
            </w:pPr>
          </w:p>
        </w:tc>
        <w:tc>
          <w:tcPr>
            <w:tcW w:w="740" w:type="dxa"/>
            <w:vAlign w:val="bottom"/>
          </w:tcPr>
          <w:p>
            <w:pPr>
              <w:jc w:val="center"/>
              <w:ind w:right="92"/>
              <w:spacing w:after="0" w:line="97" w:lineRule="exact"/>
              <w:rPr>
                <w:sz w:val="20"/>
                <w:szCs w:val="20"/>
                <w:color w:val="auto"/>
              </w:rPr>
            </w:pPr>
            <w:r>
              <w:rPr>
                <w:rFonts w:ascii="Times New Roman" w:cs="Times New Roman" w:eastAsia="Times New Roman" w:hAnsi="Times New Roman"/>
                <w:sz w:val="10"/>
                <w:szCs w:val="10"/>
                <w:b w:val="1"/>
                <w:bCs w:val="1"/>
                <w:color w:val="auto"/>
                <w:w w:val="95"/>
              </w:rPr>
              <w:t>Interest</w:t>
            </w:r>
          </w:p>
        </w:tc>
        <w:tc>
          <w:tcPr>
            <w:tcW w:w="920" w:type="dxa"/>
            <w:vAlign w:val="bottom"/>
            <w:vMerge w:val="restart"/>
          </w:tcPr>
          <w:p>
            <w:pPr>
              <w:jc w:val="right"/>
              <w:ind w:right="312"/>
              <w:spacing w:after="0"/>
              <w:rPr>
                <w:sz w:val="20"/>
                <w:szCs w:val="20"/>
                <w:color w:val="auto"/>
              </w:rPr>
            </w:pPr>
            <w:r>
              <w:rPr>
                <w:rFonts w:ascii="Times New Roman" w:cs="Times New Roman" w:eastAsia="Times New Roman" w:hAnsi="Times New Roman"/>
                <w:sz w:val="10"/>
                <w:szCs w:val="10"/>
                <w:b w:val="1"/>
                <w:bCs w:val="1"/>
                <w:color w:val="auto"/>
              </w:rPr>
              <w:t>Yield/</w:t>
            </w: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jc w:val="center"/>
              <w:ind w:right="112"/>
              <w:spacing w:after="0" w:line="99" w:lineRule="exact"/>
              <w:rPr>
                <w:sz w:val="20"/>
                <w:szCs w:val="20"/>
                <w:color w:val="auto"/>
              </w:rPr>
            </w:pPr>
            <w:r>
              <w:rPr>
                <w:rFonts w:ascii="Times New Roman" w:cs="Times New Roman" w:eastAsia="Times New Roman" w:hAnsi="Times New Roman"/>
                <w:sz w:val="10"/>
                <w:szCs w:val="10"/>
                <w:b w:val="1"/>
                <w:bCs w:val="1"/>
                <w:color w:val="auto"/>
                <w:w w:val="98"/>
              </w:rPr>
              <w:t>Income/</w:t>
            </w:r>
          </w:p>
        </w:tc>
        <w:tc>
          <w:tcPr>
            <w:tcW w:w="11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b w:val="1"/>
                <w:bCs w:val="1"/>
                <w:color w:val="auto"/>
                <w:w w:val="92"/>
              </w:rPr>
              <w:t>Income/</w:t>
            </w:r>
          </w:p>
        </w:tc>
        <w:tc>
          <w:tcPr>
            <w:tcW w:w="112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jc w:val="center"/>
              <w:ind w:right="112"/>
              <w:spacing w:after="0" w:line="99" w:lineRule="exact"/>
              <w:rPr>
                <w:sz w:val="20"/>
                <w:szCs w:val="20"/>
                <w:color w:val="auto"/>
              </w:rPr>
            </w:pPr>
            <w:r>
              <w:rPr>
                <w:rFonts w:ascii="Times New Roman" w:cs="Times New Roman" w:eastAsia="Times New Roman" w:hAnsi="Times New Roman"/>
                <w:sz w:val="10"/>
                <w:szCs w:val="10"/>
                <w:b w:val="1"/>
                <w:bCs w:val="1"/>
                <w:color w:val="auto"/>
                <w:w w:val="98"/>
              </w:rPr>
              <w:t>Income/</w:t>
            </w: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5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12"/>
              <w:spacing w:after="0" w:line="135" w:lineRule="exact"/>
              <w:rPr>
                <w:sz w:val="20"/>
                <w:szCs w:val="20"/>
                <w:color w:val="auto"/>
              </w:rPr>
            </w:pPr>
            <w:r>
              <w:rPr>
                <w:rFonts w:ascii="Times New Roman" w:cs="Times New Roman" w:eastAsia="Times New Roman" w:hAnsi="Times New Roman"/>
                <w:sz w:val="10"/>
                <w:szCs w:val="10"/>
                <w:b w:val="1"/>
                <w:bCs w:val="1"/>
                <w:color w:val="auto"/>
                <w:w w:val="93"/>
              </w:rPr>
              <w:t>Expense</w:t>
            </w:r>
            <w:r>
              <w:rPr>
                <w:rFonts w:ascii="Times New Roman" w:cs="Times New Roman" w:eastAsia="Times New Roman" w:hAnsi="Times New Roman"/>
                <w:sz w:val="12"/>
                <w:szCs w:val="12"/>
                <w:b w:val="1"/>
                <w:bCs w:val="1"/>
                <w:color w:val="auto"/>
                <w:w w:val="93"/>
                <w:vertAlign w:val="superscript"/>
              </w:rPr>
              <w:t>(1)</w:t>
            </w:r>
          </w:p>
        </w:tc>
        <w:tc>
          <w:tcPr>
            <w:tcW w:w="11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6"/>
                <w:szCs w:val="6"/>
                <w:b w:val="1"/>
                <w:bCs w:val="1"/>
                <w:color w:val="auto"/>
              </w:rPr>
              <w:t>(1)</w:t>
            </w: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center"/>
              <w:ind w:right="32"/>
              <w:spacing w:after="0" w:line="135" w:lineRule="exact"/>
              <w:rPr>
                <w:sz w:val="20"/>
                <w:szCs w:val="20"/>
                <w:color w:val="auto"/>
              </w:rPr>
            </w:pPr>
            <w:r>
              <w:rPr>
                <w:rFonts w:ascii="Times New Roman" w:cs="Times New Roman" w:eastAsia="Times New Roman" w:hAnsi="Times New Roman"/>
                <w:sz w:val="10"/>
                <w:szCs w:val="10"/>
                <w:b w:val="1"/>
                <w:bCs w:val="1"/>
                <w:color w:val="auto"/>
                <w:w w:val="88"/>
              </w:rPr>
              <w:t>Expense</w:t>
            </w:r>
            <w:r>
              <w:rPr>
                <w:rFonts w:ascii="Times New Roman" w:cs="Times New Roman" w:eastAsia="Times New Roman" w:hAnsi="Times New Roman"/>
                <w:sz w:val="12"/>
                <w:szCs w:val="12"/>
                <w:b w:val="1"/>
                <w:bCs w:val="1"/>
                <w:color w:val="auto"/>
                <w:w w:val="88"/>
                <w:vertAlign w:val="superscript"/>
              </w:rPr>
              <w:t>(1)</w:t>
            </w:r>
          </w:p>
        </w:tc>
        <w:tc>
          <w:tcPr>
            <w:tcW w:w="11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6"/>
                <w:szCs w:val="6"/>
                <w:b w:val="1"/>
                <w:bCs w:val="1"/>
                <w:color w:val="auto"/>
              </w:rPr>
              <w:t>(1)</w:t>
            </w: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12"/>
              <w:spacing w:after="0" w:line="135" w:lineRule="exact"/>
              <w:rPr>
                <w:sz w:val="20"/>
                <w:szCs w:val="20"/>
                <w:color w:val="auto"/>
              </w:rPr>
            </w:pPr>
            <w:r>
              <w:rPr>
                <w:rFonts w:ascii="Times New Roman" w:cs="Times New Roman" w:eastAsia="Times New Roman" w:hAnsi="Times New Roman"/>
                <w:sz w:val="10"/>
                <w:szCs w:val="10"/>
                <w:b w:val="1"/>
                <w:bCs w:val="1"/>
                <w:color w:val="auto"/>
                <w:w w:val="93"/>
              </w:rPr>
              <w:t>Expense</w:t>
            </w:r>
            <w:r>
              <w:rPr>
                <w:rFonts w:ascii="Times New Roman" w:cs="Times New Roman" w:eastAsia="Times New Roman" w:hAnsi="Times New Roman"/>
                <w:sz w:val="12"/>
                <w:szCs w:val="12"/>
                <w:b w:val="1"/>
                <w:bCs w:val="1"/>
                <w:color w:val="auto"/>
                <w:w w:val="93"/>
                <w:vertAlign w:val="superscript"/>
              </w:rPr>
              <w:t>(1)</w:t>
            </w: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6"/>
                <w:szCs w:val="6"/>
                <w:b w:val="1"/>
                <w:bCs w:val="1"/>
                <w:color w:val="auto"/>
              </w:rPr>
              <w:t>(1)</w:t>
            </w:r>
          </w:p>
        </w:tc>
        <w:tc>
          <w:tcPr>
            <w:tcW w:w="0" w:type="dxa"/>
            <w:vAlign w:val="bottom"/>
          </w:tcPr>
          <w:p>
            <w:pPr>
              <w:spacing w:after="0"/>
              <w:rPr>
                <w:sz w:val="1"/>
                <w:szCs w:val="1"/>
                <w:color w:val="auto"/>
              </w:rPr>
            </w:pPr>
          </w:p>
        </w:tc>
      </w:tr>
      <w:tr>
        <w:trPr>
          <w:trHeight w:val="124"/>
        </w:trPr>
        <w:tc>
          <w:tcPr>
            <w:tcW w:w="25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Interest-earning assets:</w:t>
            </w: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Loans held for investment</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19,417,475</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308,666</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6.31 % $</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19,060,083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300,112</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6.31 % $</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18,750,715</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311,903</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6.60 %</w:t>
            </w: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Loans held for sale</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195,976</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2,983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6.09 %</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223,489</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3,329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5.96 %</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290,756</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4,675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6.43 %</w:t>
            </w:r>
          </w:p>
        </w:tc>
        <w:tc>
          <w:tcPr>
            <w:tcW w:w="0" w:type="dxa"/>
            <w:vAlign w:val="bottom"/>
          </w:tcPr>
          <w:p>
            <w:pPr>
              <w:spacing w:after="0"/>
              <w:rPr>
                <w:sz w:val="1"/>
                <w:szCs w:val="1"/>
                <w:color w:val="auto"/>
              </w:rPr>
            </w:pPr>
          </w:p>
        </w:tc>
      </w:tr>
      <w:tr>
        <w:trPr>
          <w:trHeight w:val="136"/>
        </w:trPr>
        <w:tc>
          <w:tcPr>
            <w:tcW w:w="250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Taxable securities</w:t>
            </w:r>
          </w:p>
        </w:tc>
        <w:tc>
          <w:tcPr>
            <w:tcW w:w="2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3,490,630</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31,012</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3.55 %</w:t>
            </w: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3,472,422</w:t>
            </w: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29,691</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3.42 %</w:t>
            </w:r>
          </w:p>
        </w:tc>
        <w:tc>
          <w:tcPr>
            <w:tcW w:w="2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3,243,693</w:t>
            </w: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27,107</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3.34 %</w:t>
            </w: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Tax-exempt securities</w:t>
            </w: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454,557</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4,577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4.03 %</w:t>
            </w: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445,249</w:t>
            </w: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7,106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6.38 %</w:t>
            </w: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428,252</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3,928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3.67 %</w:t>
            </w:r>
          </w:p>
        </w:tc>
        <w:tc>
          <w:tcPr>
            <w:tcW w:w="0" w:type="dxa"/>
            <w:vAlign w:val="bottom"/>
          </w:tcPr>
          <w:p>
            <w:pPr>
              <w:spacing w:after="0"/>
              <w:rPr>
                <w:sz w:val="1"/>
                <w:szCs w:val="1"/>
                <w:color w:val="auto"/>
              </w:rPr>
            </w:pPr>
          </w:p>
        </w:tc>
      </w:tr>
      <w:tr>
        <w:trPr>
          <w:trHeight w:val="124"/>
        </w:trPr>
        <w:tc>
          <w:tcPr>
            <w:tcW w:w="25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Total securities</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3,945,187</w:t>
            </w: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35,589</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3.61 %</w:t>
            </w:r>
          </w:p>
        </w:tc>
        <w:tc>
          <w:tcPr>
            <w:tcW w:w="2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3,917,671</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36,797</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3.76 %</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3,671,945</w:t>
            </w: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31,035</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3.38 %</w:t>
            </w: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Interest-bearing balances with banks</w:t>
            </w: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557,301</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3.57 %</w:t>
            </w: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600,075</w:t>
            </w: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5,105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3.41 %</w:t>
            </w: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814,103</w:t>
            </w:r>
          </w:p>
        </w:tc>
        <w:tc>
          <w:tcPr>
            <w:tcW w:w="1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8,096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3.95 %</w:t>
            </w:r>
          </w:p>
        </w:tc>
        <w:tc>
          <w:tcPr>
            <w:tcW w:w="0" w:type="dxa"/>
            <w:vAlign w:val="bottom"/>
          </w:tcPr>
          <w:p>
            <w:pPr>
              <w:spacing w:after="0"/>
              <w:rPr>
                <w:sz w:val="1"/>
                <w:szCs w:val="1"/>
                <w:color w:val="auto"/>
              </w:rPr>
            </w:pPr>
          </w:p>
        </w:tc>
      </w:tr>
      <w:tr>
        <w:trPr>
          <w:trHeight w:val="125"/>
        </w:trPr>
        <w:tc>
          <w:tcPr>
            <w:tcW w:w="25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Total interest-earning assets</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24,115,939</w:t>
            </w: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352,247</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5.80 %</w:t>
            </w:r>
          </w:p>
        </w:tc>
        <w:tc>
          <w:tcPr>
            <w:tcW w:w="2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23,801,318</w:t>
            </w: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345,343</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5.82 %</w:t>
            </w: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23,527,519</w:t>
            </w: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355,709</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6.01 %</w:t>
            </w: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and due from banks</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243,532</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264,246</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306,847</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Intangible assets</w:t>
            </w:r>
          </w:p>
        </w:tc>
        <w:tc>
          <w:tcPr>
            <w:tcW w:w="2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1,551,577</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1,546,924</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1,578,846</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assets</w:t>
            </w: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1,187,852</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1,187,805</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1,043,384</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Total assets</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27,098,900</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26,800,293</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26,456,596</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50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Interest-bearing liabilities:</w:t>
            </w:r>
          </w:p>
        </w:tc>
        <w:tc>
          <w:tcPr>
            <w:tcW w:w="2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0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Interest-bearing demand</w:t>
            </w:r>
            <w:r>
              <w:rPr>
                <w:rFonts w:ascii="Times New Roman" w:cs="Times New Roman" w:eastAsia="Times New Roman" w:hAnsi="Times New Roman"/>
                <w:sz w:val="12"/>
                <w:szCs w:val="12"/>
                <w:color w:val="auto"/>
                <w:vertAlign w:val="superscript"/>
              </w:rPr>
              <w:t>(2)</w:t>
            </w: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11,284,644</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70,759</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2.49 % $</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11,647,640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72,261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2.49 % $</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11,521,433</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82,080</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2.83 %</w:t>
            </w:r>
          </w:p>
        </w:tc>
        <w:tc>
          <w:tcPr>
            <w:tcW w:w="0" w:type="dxa"/>
            <w:vAlign w:val="bottom"/>
          </w:tcPr>
          <w:p>
            <w:pPr>
              <w:spacing w:after="0"/>
              <w:rPr>
                <w:sz w:val="1"/>
                <w:szCs w:val="1"/>
                <w:color w:val="auto"/>
              </w:rPr>
            </w:pPr>
          </w:p>
        </w:tc>
      </w:tr>
      <w:tr>
        <w:trPr>
          <w:trHeight w:val="144"/>
        </w:trPr>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Savings deposits</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1,300,364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0.30 %</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1,307,314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0.29 %</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1,299,396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0.29 %</w:t>
            </w:r>
          </w:p>
        </w:tc>
        <w:tc>
          <w:tcPr>
            <w:tcW w:w="0" w:type="dxa"/>
            <w:vAlign w:val="bottom"/>
          </w:tcPr>
          <w:p>
            <w:pPr>
              <w:spacing w:after="0"/>
              <w:rPr>
                <w:sz w:val="1"/>
                <w:szCs w:val="1"/>
                <w:color w:val="auto"/>
              </w:rPr>
            </w:pPr>
          </w:p>
        </w:tc>
      </w:tr>
      <w:tr>
        <w:trPr>
          <w:trHeight w:val="135"/>
        </w:trPr>
        <w:tc>
          <w:tcPr>
            <w:tcW w:w="25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Time deposits</w:t>
            </w: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3,908,181</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35,285</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3.58 %</w:t>
            </w: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3,760,192</w:t>
            </w: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33,193</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3.54 %</w:t>
            </w: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3,398,402</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32,550</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3.80 %</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interest-bearing deposits</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16,493,189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2.57 %</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16,715,146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106,398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2.55 %</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16,219,231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115,573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2.83 %</w:t>
            </w:r>
          </w:p>
        </w:tc>
        <w:tc>
          <w:tcPr>
            <w:tcW w:w="0" w:type="dxa"/>
            <w:vAlign w:val="bottom"/>
          </w:tcPr>
          <w:p>
            <w:pPr>
              <w:spacing w:after="0"/>
              <w:rPr>
                <w:sz w:val="1"/>
                <w:szCs w:val="1"/>
                <w:color w:val="auto"/>
              </w:rPr>
            </w:pPr>
          </w:p>
        </w:tc>
      </w:tr>
      <w:tr>
        <w:trPr>
          <w:trHeight w:val="136"/>
        </w:trPr>
        <w:tc>
          <w:tcPr>
            <w:tcW w:w="2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Borrowed funds</w:t>
            </w: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1,362,872</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16,624</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4.86 %</w:t>
            </w: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891,081</w:t>
            </w: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11,288</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5.07 %</w:t>
            </w: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961,980</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12,005</w:t>
            </w: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0"/>
                <w:szCs w:val="10"/>
                <w:color w:val="auto"/>
              </w:rPr>
              <w:t>4.97 %</w:t>
            </w:r>
          </w:p>
        </w:tc>
        <w:tc>
          <w:tcPr>
            <w:tcW w:w="0" w:type="dxa"/>
            <w:vAlign w:val="bottom"/>
          </w:tcPr>
          <w:p>
            <w:pPr>
              <w:spacing w:after="0"/>
              <w:rPr>
                <w:sz w:val="1"/>
                <w:szCs w:val="1"/>
                <w:color w:val="auto"/>
              </w:rPr>
            </w:pPr>
          </w:p>
        </w:tc>
      </w:tr>
      <w:tr>
        <w:trPr>
          <w:trHeight w:val="141"/>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interest-bearing liabilities</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17,856,061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123,646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2.75 %</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17,606,227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117,686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2.68 %</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17,181,211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127,578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2.95 %</w:t>
            </w:r>
          </w:p>
        </w:tc>
        <w:tc>
          <w:tcPr>
            <w:tcW w:w="0" w:type="dxa"/>
            <w:vAlign w:val="bottom"/>
          </w:tcPr>
          <w:p>
            <w:pPr>
              <w:spacing w:after="0"/>
              <w:rPr>
                <w:sz w:val="1"/>
                <w:szCs w:val="1"/>
                <w:color w:val="auto"/>
              </w:rPr>
            </w:pPr>
          </w:p>
        </w:tc>
      </w:tr>
      <w:tr>
        <w:trPr>
          <w:trHeight w:val="136"/>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Noninterest-bearing deposits</w:t>
            </w:r>
          </w:p>
        </w:tc>
        <w:tc>
          <w:tcPr>
            <w:tcW w:w="2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5,058,509</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5,038,879</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5,226,588</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liabilities</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303,699</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303,586</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253,801</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Shareholders’ equity</w:t>
            </w: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3,880,631</w:t>
            </w:r>
          </w:p>
        </w:tc>
        <w:tc>
          <w:tcPr>
            <w:tcW w:w="16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3,851,601</w:t>
            </w:r>
          </w:p>
        </w:tc>
        <w:tc>
          <w:tcPr>
            <w:tcW w:w="8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3,794,996</w:t>
            </w:r>
          </w:p>
        </w:tc>
        <w:tc>
          <w:tcPr>
            <w:tcW w:w="16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liabilities and shareholders’ equity</w:t>
            </w:r>
          </w:p>
        </w:tc>
        <w:tc>
          <w:tcPr>
            <w:tcW w:w="2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27,098,900</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26,800,293</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26,456,596</w:t>
            </w: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500" w:type="dxa"/>
            <w:vAlign w:val="bottom"/>
            <w:tcBorders>
              <w:top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Net interest income/ net interest margin (FTE)</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jc w:val="right"/>
              <w:ind w:right="52"/>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228,601</w:t>
            </w:r>
          </w:p>
        </w:tc>
        <w:tc>
          <w:tcPr>
            <w:tcW w:w="900" w:type="dxa"/>
            <w:vAlign w:val="bottom"/>
            <w:tcBorders>
              <w:top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3.77 %</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227,657</w:t>
            </w:r>
          </w:p>
        </w:tc>
        <w:tc>
          <w:tcPr>
            <w:tcW w:w="900" w:type="dxa"/>
            <w:vAlign w:val="bottom"/>
            <w:tcBorders>
              <w:top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3.83 %</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jc w:val="right"/>
              <w:ind w:right="52"/>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228,131</w:t>
            </w:r>
          </w:p>
        </w:tc>
        <w:tc>
          <w:tcPr>
            <w:tcW w:w="920" w:type="dxa"/>
            <w:vAlign w:val="bottom"/>
            <w:tcBorders>
              <w:top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3.85 %</w:t>
            </w:r>
          </w:p>
        </w:tc>
        <w:tc>
          <w:tcPr>
            <w:tcW w:w="0" w:type="dxa"/>
            <w:vAlign w:val="bottom"/>
          </w:tcPr>
          <w:p>
            <w:pPr>
              <w:spacing w:after="0"/>
              <w:rPr>
                <w:sz w:val="1"/>
                <w:szCs w:val="1"/>
                <w:color w:val="auto"/>
              </w:rPr>
            </w:pPr>
          </w:p>
        </w:tc>
      </w:tr>
      <w:tr>
        <w:trPr>
          <w:trHeight w:val="15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Cost of funding</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2.14 %</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2.08 %</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2.26 %</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Cost of total deposits</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1.97 %</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1.96 %</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2.14 %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88" w:hanging="88"/>
        <w:spacing w:after="0"/>
        <w:tabs>
          <w:tab w:leader="none" w:pos="88" w:val="left"/>
        </w:tabs>
        <w:numPr>
          <w:ilvl w:val="0"/>
          <w:numId w:val="1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Interest income and weighted average yields on tax-exempt loans and securities have been computed on a fully tax equivalent basis assuming a federal tax rate of 21%.</w:t>
      </w:r>
    </w:p>
    <w:p>
      <w:pPr>
        <w:spacing w:after="0" w:line="3" w:lineRule="exact"/>
        <w:rPr>
          <w:rFonts w:ascii="Times New Roman" w:cs="Times New Roman" w:eastAsia="Times New Roman" w:hAnsi="Times New Roman"/>
          <w:sz w:val="6"/>
          <w:szCs w:val="6"/>
          <w:color w:val="auto"/>
        </w:rPr>
      </w:pPr>
    </w:p>
    <w:p>
      <w:pPr>
        <w:ind w:left="88" w:hanging="88"/>
        <w:spacing w:after="0" w:line="215" w:lineRule="auto"/>
        <w:tabs>
          <w:tab w:leader="none" w:pos="88" w:val="left"/>
        </w:tabs>
        <w:numPr>
          <w:ilvl w:val="0"/>
          <w:numId w:val="12"/>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Interest-bearing demand deposits include interest-bearing transactional accounts and money market deposits.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8"/>
          </w:cols>
          <w:pgMar w:left="292" w:top="661" w:right="299" w:bottom="1440" w:gutter="0" w:footer="0" w:header="0"/>
        </w:sectPr>
      </w:pPr>
    </w:p>
    <w:bookmarkStart w:id="11" w:name="page12"/>
    <w:bookmarkEnd w:id="11"/>
    <w:p>
      <w:pPr>
        <w:ind w:left="8"/>
        <w:spacing w:after="0"/>
        <w:rPr>
          <w:sz w:val="20"/>
          <w:szCs w:val="20"/>
          <w:color w:val="auto"/>
        </w:rPr>
      </w:pPr>
      <w:r>
        <w:rPr>
          <w:rFonts w:ascii="Times New Roman" w:cs="Times New Roman" w:eastAsia="Times New Roman" w:hAnsi="Times New Roman"/>
          <w:sz w:val="13"/>
          <w:szCs w:val="13"/>
          <w:b w:val="1"/>
          <w:bCs w:val="1"/>
          <w:i w:val="1"/>
          <w:iCs w:val="1"/>
          <w:color w:val="auto"/>
        </w:rPr>
        <w:t>Net Interest Income and Net Interest Margin, continued</w:t>
      </w:r>
    </w:p>
    <w:p>
      <w:pPr>
        <w:spacing w:after="0" w:line="33"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w:t>
            </w: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98"/>
              </w:rPr>
              <w:t>Nine Months Ended</w:t>
            </w: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5"/>
              </w:rPr>
              <w:t>September 30, 2026</w:t>
            </w:r>
          </w:p>
        </w:tc>
        <w:tc>
          <w:tcPr>
            <w:tcW w:w="8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0"/>
                <w:szCs w:val="10"/>
                <w:b w:val="1"/>
                <w:bCs w:val="1"/>
                <w:color w:val="auto"/>
                <w:w w:val="95"/>
              </w:rPr>
              <w:t>September 30, 2025</w:t>
            </w:r>
          </w:p>
        </w:tc>
        <w:tc>
          <w:tcPr>
            <w:tcW w:w="1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3640" w:type="dxa"/>
            <w:vAlign w:val="bottom"/>
          </w:tcPr>
          <w:p>
            <w:pPr>
              <w:spacing w:after="0"/>
              <w:rPr>
                <w:sz w:val="8"/>
                <w:szCs w:val="8"/>
                <w:color w:val="auto"/>
              </w:rPr>
            </w:pPr>
          </w:p>
        </w:tc>
        <w:tc>
          <w:tcPr>
            <w:tcW w:w="1260" w:type="dxa"/>
            <w:vAlign w:val="bottom"/>
            <w:gridSpan w:val="2"/>
            <w:vMerge w:val="restart"/>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Average</w:t>
            </w:r>
          </w:p>
        </w:tc>
        <w:tc>
          <w:tcPr>
            <w:tcW w:w="160" w:type="dxa"/>
            <w:vAlign w:val="bottom"/>
          </w:tcPr>
          <w:p>
            <w:pPr>
              <w:spacing w:after="0"/>
              <w:rPr>
                <w:sz w:val="8"/>
                <w:szCs w:val="8"/>
                <w:color w:val="auto"/>
              </w:rPr>
            </w:pPr>
          </w:p>
        </w:tc>
        <w:tc>
          <w:tcPr>
            <w:tcW w:w="1120" w:type="dxa"/>
            <w:vAlign w:val="bottom"/>
          </w:tcPr>
          <w:p>
            <w:pPr>
              <w:jc w:val="center"/>
              <w:ind w:right="112"/>
              <w:spacing w:after="0" w:line="98" w:lineRule="exact"/>
              <w:rPr>
                <w:sz w:val="20"/>
                <w:szCs w:val="20"/>
                <w:color w:val="auto"/>
              </w:rPr>
            </w:pPr>
            <w:r>
              <w:rPr>
                <w:rFonts w:ascii="Times New Roman" w:cs="Times New Roman" w:eastAsia="Times New Roman" w:hAnsi="Times New Roman"/>
                <w:sz w:val="10"/>
                <w:szCs w:val="10"/>
                <w:b w:val="1"/>
                <w:bCs w:val="1"/>
                <w:color w:val="auto"/>
                <w:w w:val="95"/>
              </w:rPr>
              <w:t>Interest</w:t>
            </w:r>
          </w:p>
        </w:tc>
        <w:tc>
          <w:tcPr>
            <w:tcW w:w="820" w:type="dxa"/>
            <w:vAlign w:val="bottom"/>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rPr>
              <w:t>Yield/</w:t>
            </w: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vMerge w:val="restart"/>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w w:val="95"/>
              </w:rPr>
              <w:t>Average</w:t>
            </w:r>
          </w:p>
        </w:tc>
        <w:tc>
          <w:tcPr>
            <w:tcW w:w="140" w:type="dxa"/>
            <w:vAlign w:val="bottom"/>
          </w:tcPr>
          <w:p>
            <w:pPr>
              <w:spacing w:after="0"/>
              <w:rPr>
                <w:sz w:val="8"/>
                <w:szCs w:val="8"/>
                <w:color w:val="auto"/>
              </w:rPr>
            </w:pPr>
          </w:p>
        </w:tc>
        <w:tc>
          <w:tcPr>
            <w:tcW w:w="1140" w:type="dxa"/>
            <w:vAlign w:val="bottom"/>
          </w:tcPr>
          <w:p>
            <w:pPr>
              <w:jc w:val="center"/>
              <w:ind w:right="92"/>
              <w:spacing w:after="0" w:line="98" w:lineRule="exact"/>
              <w:rPr>
                <w:sz w:val="20"/>
                <w:szCs w:val="20"/>
                <w:color w:val="auto"/>
              </w:rPr>
            </w:pPr>
            <w:r>
              <w:rPr>
                <w:rFonts w:ascii="Times New Roman" w:cs="Times New Roman" w:eastAsia="Times New Roman" w:hAnsi="Times New Roman"/>
                <w:sz w:val="10"/>
                <w:szCs w:val="10"/>
                <w:b w:val="1"/>
                <w:bCs w:val="1"/>
                <w:color w:val="auto"/>
                <w:w w:val="95"/>
              </w:rPr>
              <w:t>Interest</w:t>
            </w: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10"/>
                <w:szCs w:val="10"/>
                <w:b w:val="1"/>
                <w:bCs w:val="1"/>
                <w:color w:val="auto"/>
              </w:rPr>
              <w:t>Yield/</w:t>
            </w:r>
          </w:p>
        </w:tc>
        <w:tc>
          <w:tcPr>
            <w:tcW w:w="0" w:type="dxa"/>
            <w:vAlign w:val="bottom"/>
          </w:tcPr>
          <w:p>
            <w:pPr>
              <w:spacing w:after="0"/>
              <w:rPr>
                <w:sz w:val="1"/>
                <w:szCs w:val="1"/>
                <w:color w:val="auto"/>
              </w:rPr>
            </w:pPr>
          </w:p>
        </w:tc>
      </w:tr>
      <w:tr>
        <w:trPr>
          <w:trHeight w:val="97"/>
        </w:trPr>
        <w:tc>
          <w:tcPr>
            <w:tcW w:w="36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jc w:val="center"/>
              <w:ind w:right="112"/>
              <w:spacing w:after="0" w:line="98" w:lineRule="exact"/>
              <w:rPr>
                <w:sz w:val="20"/>
                <w:szCs w:val="20"/>
                <w:color w:val="auto"/>
              </w:rPr>
            </w:pPr>
            <w:r>
              <w:rPr>
                <w:rFonts w:ascii="Times New Roman" w:cs="Times New Roman" w:eastAsia="Times New Roman" w:hAnsi="Times New Roman"/>
                <w:sz w:val="10"/>
                <w:szCs w:val="10"/>
                <w:b w:val="1"/>
                <w:bCs w:val="1"/>
                <w:color w:val="auto"/>
                <w:w w:val="92"/>
              </w:rPr>
              <w:t>Income/</w:t>
            </w:r>
          </w:p>
        </w:tc>
        <w:tc>
          <w:tcPr>
            <w:tcW w:w="8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jc w:val="center"/>
              <w:ind w:right="112"/>
              <w:spacing w:after="0" w:line="98" w:lineRule="exact"/>
              <w:rPr>
                <w:sz w:val="20"/>
                <w:szCs w:val="20"/>
                <w:color w:val="auto"/>
              </w:rPr>
            </w:pPr>
            <w:r>
              <w:rPr>
                <w:rFonts w:ascii="Times New Roman" w:cs="Times New Roman" w:eastAsia="Times New Roman" w:hAnsi="Times New Roman"/>
                <w:sz w:val="10"/>
                <w:szCs w:val="10"/>
                <w:b w:val="1"/>
                <w:bCs w:val="1"/>
                <w:color w:val="auto"/>
                <w:w w:val="98"/>
              </w:rPr>
              <w:t>Income/</w:t>
            </w: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6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4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12"/>
              <w:spacing w:after="0" w:line="135" w:lineRule="exact"/>
              <w:rPr>
                <w:sz w:val="20"/>
                <w:szCs w:val="20"/>
                <w:color w:val="auto"/>
              </w:rPr>
            </w:pPr>
            <w:r>
              <w:rPr>
                <w:rFonts w:ascii="Times New Roman" w:cs="Times New Roman" w:eastAsia="Times New Roman" w:hAnsi="Times New Roman"/>
                <w:sz w:val="10"/>
                <w:szCs w:val="10"/>
                <w:b w:val="1"/>
                <w:bCs w:val="1"/>
                <w:color w:val="auto"/>
                <w:w w:val="88"/>
              </w:rPr>
              <w:t>Expense</w:t>
            </w:r>
            <w:r>
              <w:rPr>
                <w:rFonts w:ascii="Times New Roman" w:cs="Times New Roman" w:eastAsia="Times New Roman" w:hAnsi="Times New Roman"/>
                <w:sz w:val="12"/>
                <w:szCs w:val="12"/>
                <w:b w:val="1"/>
                <w:bCs w:val="1"/>
                <w:color w:val="auto"/>
                <w:w w:val="88"/>
                <w:vertAlign w:val="superscript"/>
              </w:rPr>
              <w:t>(1)</w:t>
            </w:r>
          </w:p>
        </w:tc>
        <w:tc>
          <w:tcPr>
            <w:tcW w:w="820" w:type="dxa"/>
            <w:vAlign w:val="bottom"/>
            <w:tcBorders>
              <w:bottom w:val="single" w:sz="8" w:color="auto"/>
            </w:tcBorders>
          </w:tcPr>
          <w:p>
            <w:pPr>
              <w:ind w:left="500"/>
              <w:spacing w:after="0" w:line="135"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12"/>
                <w:szCs w:val="12"/>
                <w:b w:val="1"/>
                <w:bCs w:val="1"/>
                <w:color w:val="auto"/>
                <w:vertAlign w:val="superscript"/>
              </w:rPr>
              <w:t>(1)</w:t>
            </w:r>
          </w:p>
        </w:tc>
        <w:tc>
          <w:tcPr>
            <w:tcW w:w="4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center"/>
              <w:ind w:right="112"/>
              <w:spacing w:after="0" w:line="135" w:lineRule="exact"/>
              <w:rPr>
                <w:sz w:val="20"/>
                <w:szCs w:val="20"/>
                <w:color w:val="auto"/>
              </w:rPr>
            </w:pPr>
            <w:r>
              <w:rPr>
                <w:rFonts w:ascii="Times New Roman" w:cs="Times New Roman" w:eastAsia="Times New Roman" w:hAnsi="Times New Roman"/>
                <w:sz w:val="10"/>
                <w:szCs w:val="10"/>
                <w:b w:val="1"/>
                <w:bCs w:val="1"/>
                <w:color w:val="auto"/>
                <w:w w:val="93"/>
              </w:rPr>
              <w:t>Expense</w:t>
            </w:r>
            <w:r>
              <w:rPr>
                <w:rFonts w:ascii="Times New Roman" w:cs="Times New Roman" w:eastAsia="Times New Roman" w:hAnsi="Times New Roman"/>
                <w:sz w:val="12"/>
                <w:szCs w:val="12"/>
                <w:b w:val="1"/>
                <w:bCs w:val="1"/>
                <w:color w:val="auto"/>
                <w:w w:val="93"/>
                <w:vertAlign w:val="superscript"/>
              </w:rPr>
              <w:t>(1)</w:t>
            </w:r>
          </w:p>
        </w:tc>
        <w:tc>
          <w:tcPr>
            <w:tcW w:w="1280" w:type="dxa"/>
            <w:vAlign w:val="bottom"/>
            <w:tcBorders>
              <w:bottom w:val="single" w:sz="8" w:color="auto"/>
            </w:tcBorders>
          </w:tcPr>
          <w:p>
            <w:pPr>
              <w:ind w:left="520"/>
              <w:spacing w:after="0" w:line="135"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12"/>
                <w:szCs w:val="12"/>
                <w:b w:val="1"/>
                <w:bCs w:val="1"/>
                <w:color w:val="auto"/>
                <w:vertAlign w:val="superscript"/>
              </w:rPr>
              <w:t>(1)</w:t>
            </w:r>
          </w:p>
        </w:tc>
        <w:tc>
          <w:tcPr>
            <w:tcW w:w="0" w:type="dxa"/>
            <w:vAlign w:val="bottom"/>
          </w:tcPr>
          <w:p>
            <w:pPr>
              <w:spacing w:after="0"/>
              <w:rPr>
                <w:sz w:val="1"/>
                <w:szCs w:val="1"/>
                <w:color w:val="auto"/>
              </w:rPr>
            </w:pPr>
          </w:p>
        </w:tc>
      </w:tr>
      <w:tr>
        <w:trPr>
          <w:trHeight w:val="124"/>
        </w:trPr>
        <w:tc>
          <w:tcPr>
            <w:tcW w:w="36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Interest-earning assets:</w:t>
            </w:r>
          </w:p>
        </w:tc>
        <w:tc>
          <w:tcPr>
            <w:tcW w:w="8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rPr>
              <w:t>Loans held for investment</w:t>
            </w:r>
          </w:p>
        </w:tc>
        <w:tc>
          <w:tcPr>
            <w:tcW w:w="8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8"/>
              </w:rPr>
              <w:t>19,172,292</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907,903</w:t>
            </w:r>
          </w:p>
        </w:tc>
        <w:tc>
          <w:tcPr>
            <w:tcW w:w="82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6.33%</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16,743,048</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816,241</w:t>
            </w:r>
          </w:p>
        </w:tc>
        <w:tc>
          <w:tcPr>
            <w:tcW w:w="128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6.52%</w:t>
            </w: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Loans held for sale</w:t>
            </w: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210,267</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9,188</w:t>
            </w: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5.83%</w:t>
            </w: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260,172</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12,322</w:t>
            </w:r>
          </w:p>
        </w:tc>
        <w:tc>
          <w:tcPr>
            <w:tcW w:w="1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6.32%</w:t>
            </w:r>
          </w:p>
        </w:tc>
        <w:tc>
          <w:tcPr>
            <w:tcW w:w="0" w:type="dxa"/>
            <w:vAlign w:val="bottom"/>
          </w:tcPr>
          <w:p>
            <w:pPr>
              <w:spacing w:after="0"/>
              <w:rPr>
                <w:sz w:val="1"/>
                <w:szCs w:val="1"/>
                <w:color w:val="auto"/>
              </w:rPr>
            </w:pPr>
          </w:p>
        </w:tc>
      </w:tr>
      <w:tr>
        <w:trPr>
          <w:trHeight w:val="135"/>
        </w:trPr>
        <w:tc>
          <w:tcPr>
            <w:tcW w:w="36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Taxable securities</w:t>
            </w:r>
          </w:p>
        </w:tc>
        <w:tc>
          <w:tcPr>
            <w:tcW w:w="8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3,448,380</w:t>
            </w:r>
          </w:p>
        </w:tc>
        <w:tc>
          <w:tcPr>
            <w:tcW w:w="1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89,564</w:t>
            </w:r>
          </w:p>
        </w:tc>
        <w:tc>
          <w:tcPr>
            <w:tcW w:w="82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3.46%</w:t>
            </w: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2,749,580</w:t>
            </w:r>
          </w:p>
        </w:tc>
        <w:tc>
          <w:tcPr>
            <w:tcW w:w="140" w:type="dxa"/>
            <w:vAlign w:val="bottom"/>
          </w:tcPr>
          <w:p>
            <w:pPr>
              <w:spacing w:after="0"/>
              <w:rPr>
                <w:sz w:val="11"/>
                <w:szCs w:val="1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62,995</w:t>
            </w:r>
          </w:p>
        </w:tc>
        <w:tc>
          <w:tcPr>
            <w:tcW w:w="128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3.05%</w:t>
            </w: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Tax-exempt securities</w:t>
            </w: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444,278</w:t>
            </w:r>
          </w:p>
        </w:tc>
        <w:tc>
          <w:tcPr>
            <w:tcW w:w="1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16,225</w:t>
            </w: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4.87%</w:t>
            </w:r>
          </w:p>
        </w:tc>
        <w:tc>
          <w:tcPr>
            <w:tcW w:w="44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384,212</w:t>
            </w:r>
          </w:p>
        </w:tc>
        <w:tc>
          <w:tcPr>
            <w:tcW w:w="1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9,680</w:t>
            </w:r>
          </w:p>
        </w:tc>
        <w:tc>
          <w:tcPr>
            <w:tcW w:w="1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3.36%</w:t>
            </w:r>
          </w:p>
        </w:tc>
        <w:tc>
          <w:tcPr>
            <w:tcW w:w="0" w:type="dxa"/>
            <w:vAlign w:val="bottom"/>
          </w:tcPr>
          <w:p>
            <w:pPr>
              <w:spacing w:after="0"/>
              <w:rPr>
                <w:sz w:val="1"/>
                <w:szCs w:val="1"/>
                <w:color w:val="auto"/>
              </w:rPr>
            </w:pPr>
          </w:p>
        </w:tc>
      </w:tr>
      <w:tr>
        <w:trPr>
          <w:trHeight w:val="125"/>
        </w:trPr>
        <w:tc>
          <w:tcPr>
            <w:tcW w:w="36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Total securities</w:t>
            </w:r>
          </w:p>
        </w:tc>
        <w:tc>
          <w:tcPr>
            <w:tcW w:w="8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3,892,658</w:t>
            </w:r>
          </w:p>
        </w:tc>
        <w:tc>
          <w:tcPr>
            <w:tcW w:w="1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105,789</w:t>
            </w:r>
          </w:p>
        </w:tc>
        <w:tc>
          <w:tcPr>
            <w:tcW w:w="82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3.62%</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3,133,792</w:t>
            </w:r>
          </w:p>
        </w:tc>
        <w:tc>
          <w:tcPr>
            <w:tcW w:w="140" w:type="dxa"/>
            <w:vAlign w:val="bottom"/>
          </w:tcPr>
          <w:p>
            <w:pPr>
              <w:spacing w:after="0"/>
              <w:rPr>
                <w:sz w:val="10"/>
                <w:szCs w:val="1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72,675</w:t>
            </w:r>
          </w:p>
        </w:tc>
        <w:tc>
          <w:tcPr>
            <w:tcW w:w="128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3.09%</w:t>
            </w: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Interest-bearing balances with banks</w:t>
            </w: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659,385</w:t>
            </w:r>
          </w:p>
        </w:tc>
        <w:tc>
          <w:tcPr>
            <w:tcW w:w="1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17,695</w:t>
            </w: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3.59%</w:t>
            </w:r>
          </w:p>
        </w:tc>
        <w:tc>
          <w:tcPr>
            <w:tcW w:w="44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846,844</w:t>
            </w:r>
          </w:p>
        </w:tc>
        <w:tc>
          <w:tcPr>
            <w:tcW w:w="1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25,792</w:t>
            </w:r>
          </w:p>
        </w:tc>
        <w:tc>
          <w:tcPr>
            <w:tcW w:w="1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4.07%</w:t>
            </w:r>
          </w:p>
        </w:tc>
        <w:tc>
          <w:tcPr>
            <w:tcW w:w="0" w:type="dxa"/>
            <w:vAlign w:val="bottom"/>
          </w:tcPr>
          <w:p>
            <w:pPr>
              <w:spacing w:after="0"/>
              <w:rPr>
                <w:sz w:val="1"/>
                <w:szCs w:val="1"/>
                <w:color w:val="auto"/>
              </w:rPr>
            </w:pPr>
          </w:p>
        </w:tc>
      </w:tr>
      <w:tr>
        <w:trPr>
          <w:trHeight w:val="125"/>
        </w:trPr>
        <w:tc>
          <w:tcPr>
            <w:tcW w:w="36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Total interest-earning assets</w:t>
            </w:r>
          </w:p>
        </w:tc>
        <w:tc>
          <w:tcPr>
            <w:tcW w:w="8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8"/>
              </w:rPr>
              <w:t>23,934,602</w:t>
            </w:r>
          </w:p>
        </w:tc>
        <w:tc>
          <w:tcPr>
            <w:tcW w:w="1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1,040,575</w:t>
            </w:r>
          </w:p>
        </w:tc>
        <w:tc>
          <w:tcPr>
            <w:tcW w:w="82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5.81%</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20,983,856</w:t>
            </w:r>
          </w:p>
        </w:tc>
        <w:tc>
          <w:tcPr>
            <w:tcW w:w="140" w:type="dxa"/>
            <w:vAlign w:val="bottom"/>
          </w:tcPr>
          <w:p>
            <w:pPr>
              <w:spacing w:after="0"/>
              <w:rPr>
                <w:sz w:val="10"/>
                <w:szCs w:val="1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927,030</w:t>
            </w:r>
          </w:p>
        </w:tc>
        <w:tc>
          <w:tcPr>
            <w:tcW w:w="128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5.90%</w:t>
            </w: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and due from banks</w:t>
            </w: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265,958</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282,476</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rPr>
              <w:t>Intangible assets</w:t>
            </w:r>
          </w:p>
        </w:tc>
        <w:tc>
          <w:tcPr>
            <w:tcW w:w="8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1,548,927</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1,392,393</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assets</w:t>
            </w: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1,169,591</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915,322</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Total assets</w:t>
            </w:r>
          </w:p>
        </w:tc>
        <w:tc>
          <w:tcPr>
            <w:tcW w:w="8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8"/>
              </w:rPr>
              <w:t>26,919,078</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23,574,047</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64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Interest-bearing liabilities:</w:t>
            </w:r>
          </w:p>
        </w:tc>
        <w:tc>
          <w:tcPr>
            <w:tcW w:w="80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6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Interest-bearing demand</w:t>
            </w:r>
            <w:r>
              <w:rPr>
                <w:rFonts w:ascii="Times New Roman" w:cs="Times New Roman" w:eastAsia="Times New Roman" w:hAnsi="Times New Roman"/>
                <w:sz w:val="6"/>
                <w:szCs w:val="6"/>
                <w:color w:val="auto"/>
              </w:rPr>
              <w:t>(2)</w:t>
            </w:r>
          </w:p>
        </w:tc>
        <w:tc>
          <w:tcPr>
            <w:tcW w:w="800" w:type="dxa"/>
            <w:vAlign w:val="bottom"/>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8"/>
              </w:rPr>
              <w:t>11,556,200</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215,045</w:t>
            </w:r>
          </w:p>
        </w:tc>
        <w:tc>
          <w:tcPr>
            <w:tcW w:w="82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2.49%</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10,196,332</w:t>
            </w:r>
          </w:p>
        </w:tc>
        <w:tc>
          <w:tcPr>
            <w:tcW w:w="1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213,332</w:t>
            </w:r>
          </w:p>
        </w:tc>
        <w:tc>
          <w:tcPr>
            <w:tcW w:w="128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2.80%</w:t>
            </w: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Savings deposits</w:t>
            </w: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9"/>
              </w:rPr>
              <w:t>1,299,042</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2,798</w:t>
            </w: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0.29%</w:t>
            </w: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1,146,732</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2,686</w:t>
            </w:r>
          </w:p>
        </w:tc>
        <w:tc>
          <w:tcPr>
            <w:tcW w:w="1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0.31%</w:t>
            </w:r>
          </w:p>
        </w:tc>
        <w:tc>
          <w:tcPr>
            <w:tcW w:w="0" w:type="dxa"/>
            <w:vAlign w:val="bottom"/>
          </w:tcPr>
          <w:p>
            <w:pPr>
              <w:spacing w:after="0"/>
              <w:rPr>
                <w:sz w:val="1"/>
                <w:szCs w:val="1"/>
                <w:color w:val="auto"/>
              </w:rPr>
            </w:pPr>
          </w:p>
        </w:tc>
      </w:tr>
      <w:tr>
        <w:trPr>
          <w:trHeight w:val="136"/>
        </w:trPr>
        <w:tc>
          <w:tcPr>
            <w:tcW w:w="36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Time deposits</w:t>
            </w: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9"/>
              </w:rPr>
              <w:t>3,751,960</w:t>
            </w: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99,437</w:t>
            </w:r>
          </w:p>
        </w:tc>
        <w:tc>
          <w:tcPr>
            <w:tcW w:w="8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0"/>
                <w:szCs w:val="10"/>
                <w:color w:val="auto"/>
              </w:rPr>
              <w:t>3.54%</w:t>
            </w:r>
          </w:p>
        </w:tc>
        <w:tc>
          <w:tcPr>
            <w:tcW w:w="4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3,095,753</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90,862</w:t>
            </w:r>
          </w:p>
        </w:tc>
        <w:tc>
          <w:tcPr>
            <w:tcW w:w="12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0"/>
                <w:szCs w:val="10"/>
                <w:color w:val="auto"/>
              </w:rPr>
              <w:t>3.92%</w:t>
            </w:r>
          </w:p>
        </w:tc>
        <w:tc>
          <w:tcPr>
            <w:tcW w:w="0" w:type="dxa"/>
            <w:vAlign w:val="bottom"/>
          </w:tcPr>
          <w:p>
            <w:pPr>
              <w:spacing w:after="0"/>
              <w:rPr>
                <w:sz w:val="1"/>
                <w:szCs w:val="1"/>
                <w:color w:val="auto"/>
              </w:rPr>
            </w:pPr>
          </w:p>
        </w:tc>
      </w:tr>
      <w:tr>
        <w:trPr>
          <w:trHeight w:val="141"/>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interest-bearing deposits</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8"/>
              </w:rPr>
              <w:t>16,607,202</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317,280</w:t>
            </w: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2.55%</w:t>
            </w: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14,438,817</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306,880</w:t>
            </w:r>
          </w:p>
        </w:tc>
        <w:tc>
          <w:tcPr>
            <w:tcW w:w="1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2.84%</w:t>
            </w:r>
          </w:p>
        </w:tc>
        <w:tc>
          <w:tcPr>
            <w:tcW w:w="0" w:type="dxa"/>
            <w:vAlign w:val="bottom"/>
          </w:tcPr>
          <w:p>
            <w:pPr>
              <w:spacing w:after="0"/>
              <w:rPr>
                <w:sz w:val="1"/>
                <w:szCs w:val="1"/>
                <w:color w:val="auto"/>
              </w:rPr>
            </w:pPr>
          </w:p>
        </w:tc>
      </w:tr>
      <w:tr>
        <w:trPr>
          <w:trHeight w:val="136"/>
        </w:trPr>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Borrowed funds</w:t>
            </w: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9"/>
              </w:rPr>
              <w:t>1,077,117</w:t>
            </w: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38,613</w:t>
            </w:r>
          </w:p>
        </w:tc>
        <w:tc>
          <w:tcPr>
            <w:tcW w:w="8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0"/>
                <w:szCs w:val="10"/>
                <w:color w:val="auto"/>
              </w:rPr>
              <w:t>4.79%</w:t>
            </w:r>
          </w:p>
        </w:tc>
        <w:tc>
          <w:tcPr>
            <w:tcW w:w="4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853,071</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31,870</w:t>
            </w:r>
          </w:p>
        </w:tc>
        <w:tc>
          <w:tcPr>
            <w:tcW w:w="12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0"/>
                <w:szCs w:val="10"/>
                <w:color w:val="auto"/>
              </w:rPr>
              <w:t>4.99%</w:t>
            </w:r>
          </w:p>
        </w:tc>
        <w:tc>
          <w:tcPr>
            <w:tcW w:w="0" w:type="dxa"/>
            <w:vAlign w:val="bottom"/>
          </w:tcPr>
          <w:p>
            <w:pPr>
              <w:spacing w:after="0"/>
              <w:rPr>
                <w:sz w:val="1"/>
                <w:szCs w:val="1"/>
                <w:color w:val="auto"/>
              </w:rPr>
            </w:pPr>
          </w:p>
        </w:tc>
      </w:tr>
      <w:tr>
        <w:trPr>
          <w:trHeight w:val="14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interest-bearing liabilities</w:t>
            </w: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8"/>
              </w:rPr>
              <w:t>17,684,319</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355,893</w:t>
            </w: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2.69%</w:t>
            </w: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15,291,888</w:t>
            </w: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338,750</w:t>
            </w:r>
          </w:p>
        </w:tc>
        <w:tc>
          <w:tcPr>
            <w:tcW w:w="1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2.96%</w:t>
            </w:r>
          </w:p>
        </w:tc>
        <w:tc>
          <w:tcPr>
            <w:tcW w:w="0" w:type="dxa"/>
            <w:vAlign w:val="bottom"/>
          </w:tcPr>
          <w:p>
            <w:pPr>
              <w:spacing w:after="0"/>
              <w:rPr>
                <w:sz w:val="1"/>
                <w:szCs w:val="1"/>
                <w:color w:val="auto"/>
              </w:rPr>
            </w:pPr>
          </w:p>
        </w:tc>
      </w:tr>
      <w:tr>
        <w:trPr>
          <w:trHeight w:val="136"/>
        </w:trPr>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rPr>
              <w:t>Noninterest-bearing deposits</w:t>
            </w:r>
          </w:p>
        </w:tc>
        <w:tc>
          <w:tcPr>
            <w:tcW w:w="8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9"/>
              </w:rPr>
              <w:t>5,061,957</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4,629,790</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liabilities</w:t>
            </w: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299,227</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237,417</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Shareholders’ equity</w:t>
            </w: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9"/>
              </w:rPr>
              <w:t>3,873,575</w:t>
            </w:r>
          </w:p>
        </w:tc>
        <w:tc>
          <w:tcPr>
            <w:tcW w:w="160" w:type="dxa"/>
            <w:vAlign w:val="bottom"/>
            <w:tcBorders>
              <w:bottom w:val="single" w:sz="8" w:color="CCEEFF"/>
            </w:tcBorders>
          </w:tcPr>
          <w:p>
            <w:pPr>
              <w:spacing w:after="0"/>
              <w:rPr>
                <w:sz w:val="11"/>
                <w:szCs w:val="11"/>
                <w:color w:val="auto"/>
              </w:rPr>
            </w:pPr>
          </w:p>
        </w:tc>
        <w:tc>
          <w:tcPr>
            <w:tcW w:w="112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3,414,952</w:t>
            </w:r>
          </w:p>
        </w:tc>
        <w:tc>
          <w:tcPr>
            <w:tcW w:w="140" w:type="dxa"/>
            <w:vAlign w:val="bottom"/>
            <w:tcBorders>
              <w:bottom w:val="single" w:sz="8" w:color="CCEEFF"/>
            </w:tcBorders>
          </w:tcPr>
          <w:p>
            <w:pPr>
              <w:spacing w:after="0"/>
              <w:rPr>
                <w:sz w:val="11"/>
                <w:szCs w:val="11"/>
                <w:color w:val="auto"/>
              </w:rPr>
            </w:pPr>
          </w:p>
        </w:tc>
        <w:tc>
          <w:tcPr>
            <w:tcW w:w="114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liabilities and shareholders’ equity</w:t>
            </w:r>
          </w:p>
        </w:tc>
        <w:tc>
          <w:tcPr>
            <w:tcW w:w="80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8"/>
              </w:rPr>
              <w:t>26,919,078</w:t>
            </w: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23,574,047</w:t>
            </w: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3640" w:type="dxa"/>
            <w:vAlign w:val="bottom"/>
            <w:tcBorders>
              <w:top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Net interest income/ net interest margin (FTE)</w:t>
            </w:r>
          </w:p>
        </w:tc>
        <w:tc>
          <w:tcPr>
            <w:tcW w:w="8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Borders>
              <w:top w:val="single" w:sz="8" w:color="CCEEFF"/>
            </w:tcBorders>
          </w:tcPr>
          <w:p>
            <w:pPr>
              <w:jc w:val="right"/>
              <w:ind w:right="52"/>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684,682</w:t>
            </w:r>
          </w:p>
        </w:tc>
        <w:tc>
          <w:tcPr>
            <w:tcW w:w="820" w:type="dxa"/>
            <w:vAlign w:val="bottom"/>
            <w:tcBorders>
              <w:top w:val="single" w:sz="8" w:color="CCEEFF"/>
            </w:tcBorders>
          </w:tcPr>
          <w:p>
            <w:pPr>
              <w:ind w:left="500"/>
              <w:spacing w:after="0" w:line="107" w:lineRule="exact"/>
              <w:rPr>
                <w:sz w:val="20"/>
                <w:szCs w:val="20"/>
                <w:color w:val="auto"/>
              </w:rPr>
            </w:pPr>
            <w:r>
              <w:rPr>
                <w:rFonts w:ascii="Times New Roman" w:cs="Times New Roman" w:eastAsia="Times New Roman" w:hAnsi="Times New Roman"/>
                <w:sz w:val="10"/>
                <w:szCs w:val="10"/>
                <w:color w:val="auto"/>
              </w:rPr>
              <w:t>3.82%</w:t>
            </w:r>
          </w:p>
        </w:tc>
        <w:tc>
          <w:tcPr>
            <w:tcW w:w="4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jc w:val="right"/>
              <w:ind w:right="32"/>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top w:val="single" w:sz="8" w:color="CCEEFF"/>
            </w:tcBorders>
          </w:tcPr>
          <w:p>
            <w:pPr>
              <w:jc w:val="right"/>
              <w:ind w:right="12"/>
              <w:spacing w:after="0" w:line="107" w:lineRule="exact"/>
              <w:rPr>
                <w:sz w:val="20"/>
                <w:szCs w:val="20"/>
                <w:color w:val="auto"/>
              </w:rPr>
            </w:pPr>
            <w:r>
              <w:rPr>
                <w:rFonts w:ascii="Times New Roman" w:cs="Times New Roman" w:eastAsia="Times New Roman" w:hAnsi="Times New Roman"/>
                <w:sz w:val="10"/>
                <w:szCs w:val="10"/>
                <w:color w:val="auto"/>
              </w:rPr>
              <w:t>588,280</w:t>
            </w:r>
          </w:p>
        </w:tc>
        <w:tc>
          <w:tcPr>
            <w:tcW w:w="1280" w:type="dxa"/>
            <w:vAlign w:val="bottom"/>
            <w:tcBorders>
              <w:top w:val="single" w:sz="8" w:color="CCEEFF"/>
            </w:tcBorders>
          </w:tcPr>
          <w:p>
            <w:pPr>
              <w:ind w:left="520"/>
              <w:spacing w:after="0" w:line="107" w:lineRule="exact"/>
              <w:rPr>
                <w:sz w:val="20"/>
                <w:szCs w:val="20"/>
                <w:color w:val="auto"/>
              </w:rPr>
            </w:pPr>
            <w:r>
              <w:rPr>
                <w:rFonts w:ascii="Times New Roman" w:cs="Times New Roman" w:eastAsia="Times New Roman" w:hAnsi="Times New Roman"/>
                <w:sz w:val="10"/>
                <w:szCs w:val="10"/>
                <w:color w:val="auto"/>
              </w:rPr>
              <w:t>3.75%</w:t>
            </w:r>
          </w:p>
        </w:tc>
        <w:tc>
          <w:tcPr>
            <w:tcW w:w="0" w:type="dxa"/>
            <w:vAlign w:val="bottom"/>
          </w:tcPr>
          <w:p>
            <w:pPr>
              <w:spacing w:after="0"/>
              <w:rPr>
                <w:sz w:val="1"/>
                <w:szCs w:val="1"/>
                <w:color w:val="auto"/>
              </w:rPr>
            </w:pPr>
          </w:p>
        </w:tc>
      </w:tr>
      <w:tr>
        <w:trPr>
          <w:trHeight w:val="15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Cost of funding</w:t>
            </w: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2.09%</w:t>
            </w: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2.27%</w:t>
            </w:r>
          </w:p>
        </w:tc>
        <w:tc>
          <w:tcPr>
            <w:tcW w:w="0" w:type="dxa"/>
            <w:vAlign w:val="bottom"/>
          </w:tcPr>
          <w:p>
            <w:pPr>
              <w:spacing w:after="0"/>
              <w:rPr>
                <w:sz w:val="1"/>
                <w:szCs w:val="1"/>
                <w:color w:val="auto"/>
              </w:rPr>
            </w:pPr>
          </w:p>
        </w:tc>
      </w:tr>
      <w:tr>
        <w:trPr>
          <w:trHeight w:val="127"/>
        </w:trPr>
        <w:tc>
          <w:tcPr>
            <w:tcW w:w="3640" w:type="dxa"/>
            <w:vAlign w:val="bottom"/>
          </w:tcPr>
          <w:p>
            <w:pPr>
              <w:spacing w:after="0"/>
              <w:rPr>
                <w:sz w:val="20"/>
                <w:szCs w:val="20"/>
                <w:color w:val="auto"/>
              </w:rPr>
            </w:pPr>
            <w:r>
              <w:rPr>
                <w:rFonts w:ascii="Times New Roman" w:cs="Times New Roman" w:eastAsia="Times New Roman" w:hAnsi="Times New Roman"/>
                <w:sz w:val="10"/>
                <w:szCs w:val="10"/>
                <w:color w:val="auto"/>
              </w:rPr>
              <w:t>Cost of total deposits</w:t>
            </w: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0"/>
                <w:szCs w:val="10"/>
                <w:color w:val="auto"/>
              </w:rPr>
              <w:t>1.96%</w:t>
            </w: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80" w:type="dxa"/>
            <w:vAlign w:val="bottom"/>
          </w:tcPr>
          <w:p>
            <w:pPr>
              <w:ind w:left="520"/>
              <w:spacing w:after="0"/>
              <w:rPr>
                <w:sz w:val="20"/>
                <w:szCs w:val="20"/>
                <w:color w:val="auto"/>
              </w:rPr>
            </w:pPr>
            <w:r>
              <w:rPr>
                <w:rFonts w:ascii="Times New Roman" w:cs="Times New Roman" w:eastAsia="Times New Roman" w:hAnsi="Times New Roman"/>
                <w:sz w:val="10"/>
                <w:szCs w:val="10"/>
                <w:color w:val="auto"/>
              </w:rPr>
              <w:t>2.15%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88" w:hanging="88"/>
        <w:spacing w:after="0"/>
        <w:tabs>
          <w:tab w:leader="none" w:pos="88" w:val="left"/>
        </w:tabs>
        <w:numPr>
          <w:ilvl w:val="0"/>
          <w:numId w:val="13"/>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Interest income and weighted average yields on tax-exempt loans and securities have been computed on a fully tax equivalent basis assuming a federal tax rate of 21%.</w:t>
      </w:r>
    </w:p>
    <w:p>
      <w:pPr>
        <w:ind w:left="88" w:hanging="88"/>
        <w:spacing w:after="0" w:line="215" w:lineRule="auto"/>
        <w:tabs>
          <w:tab w:leader="none" w:pos="88" w:val="left"/>
        </w:tabs>
        <w:numPr>
          <w:ilvl w:val="0"/>
          <w:numId w:val="13"/>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Interest-bearing demand deposits include interest-bearing transactional accounts and money market deposits.</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8"/>
          </w:cols>
          <w:pgMar w:left="292" w:top="661"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i w:val="1"/>
          <w:iCs w:val="1"/>
          <w:color w:val="auto"/>
        </w:rPr>
        <w:t>Loan Portfolio</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As of</w:t>
            </w: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Sep 30, 2026</w:t>
            </w: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Jun 30, 2026</w:t>
            </w: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Mar 31, 2026</w:t>
            </w: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Dec 31, 2025</w:t>
            </w:r>
          </w:p>
        </w:tc>
        <w:tc>
          <w:tcPr>
            <w:tcW w:w="2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Sep 30, 2025</w:t>
            </w:r>
          </w:p>
        </w:tc>
      </w:tr>
      <w:tr>
        <w:trPr>
          <w:trHeight w:val="135"/>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Loan Portfolio:</w:t>
            </w: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1"/>
        </w:trPr>
        <w:tc>
          <w:tcPr>
            <w:tcW w:w="43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Real estate - 1-4 family mortgage</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4,632,718</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4,568,039</w:t>
            </w:r>
          </w:p>
        </w:tc>
        <w:tc>
          <w:tcPr>
            <w:tcW w:w="2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4,584,118</w:t>
            </w: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4,635,033</w:t>
            </w: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4,642,657</w:t>
            </w:r>
          </w:p>
        </w:tc>
      </w:tr>
      <w:tr>
        <w:trPr>
          <w:trHeight w:val="155"/>
        </w:trPr>
        <w:tc>
          <w:tcPr>
            <w:tcW w:w="4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Construction and Land Development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2,112,023</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2,009,664</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1,898,629</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1,905,636</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1,990,657</w:t>
            </w:r>
          </w:p>
        </w:tc>
      </w:tr>
      <w:tr>
        <w:trPr>
          <w:trHeight w:val="151"/>
        </w:trPr>
        <w:tc>
          <w:tcPr>
            <w:tcW w:w="43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Commercial Real Estate - Non-Owner Occupied</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6,373,047</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6,123,500</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6,135,543</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6,245,480</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6,120,677</w:t>
            </w:r>
          </w:p>
        </w:tc>
      </w:tr>
      <w:tr>
        <w:trPr>
          <w:trHeight w:val="155"/>
        </w:trPr>
        <w:tc>
          <w:tcPr>
            <w:tcW w:w="4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Commercial Real Estate - Owner Occupied</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3,388,836</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3,332,728</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3,357,965</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3,334,664</w:t>
            </w: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3,321,186</w:t>
            </w:r>
          </w:p>
        </w:tc>
      </w:tr>
      <w:tr>
        <w:trPr>
          <w:trHeight w:val="151"/>
        </w:trPr>
        <w:tc>
          <w:tcPr>
            <w:tcW w:w="43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2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3,150,897</w:t>
            </w: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3,063,069</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2,895,477</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2,818,326</w:t>
            </w:r>
          </w:p>
        </w:tc>
        <w:tc>
          <w:tcPr>
            <w:tcW w:w="2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2,834,669</w:t>
            </w:r>
          </w:p>
        </w:tc>
      </w:tr>
      <w:tr>
        <w:trPr>
          <w:trHeight w:val="153"/>
        </w:trPr>
        <w:tc>
          <w:tcPr>
            <w:tcW w:w="4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Consumer</w:t>
            </w:r>
          </w:p>
        </w:tc>
        <w:tc>
          <w:tcPr>
            <w:tcW w:w="2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94,598</w:t>
            </w: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99,172</w:t>
            </w:r>
          </w:p>
        </w:tc>
        <w:tc>
          <w:tcPr>
            <w:tcW w:w="2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103,516</w:t>
            </w:r>
          </w:p>
        </w:tc>
        <w:tc>
          <w:tcPr>
            <w:tcW w:w="2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107,900</w:t>
            </w:r>
          </w:p>
        </w:tc>
        <w:tc>
          <w:tcPr>
            <w:tcW w:w="2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115,675</w:t>
            </w:r>
          </w:p>
        </w:tc>
      </w:tr>
      <w:tr>
        <w:trPr>
          <w:trHeight w:val="144"/>
        </w:trPr>
        <w:tc>
          <w:tcPr>
            <w:tcW w:w="432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Total loans</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19,752,119</w:t>
            </w:r>
          </w:p>
        </w:tc>
        <w:tc>
          <w:tcPr>
            <w:tcW w:w="24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19,196,172</w:t>
            </w:r>
          </w:p>
        </w:tc>
        <w:tc>
          <w:tcPr>
            <w:tcW w:w="26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18,975,248</w:t>
            </w: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19,047,039</w:t>
            </w: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19,025,521</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Credit Quality and Allowance for Credit Losses on Loans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b w:val="1"/>
                <w:bCs w:val="1"/>
                <w:color w:val="auto"/>
              </w:rPr>
              <w:t>As of</w:t>
            </w: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rPr>
              <w:t>Sep 30, 2026</w:t>
            </w: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Jun 30, 2026</w:t>
            </w: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Mar 31, 2026</w:t>
            </w: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Dec 31, 2025</w:t>
            </w: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Sep 30, 2025</w:t>
            </w:r>
          </w:p>
        </w:tc>
      </w:tr>
      <w:tr>
        <w:trPr>
          <w:trHeight w:val="13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Nonperforming Assets:</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151"/>
        </w:trPr>
        <w:tc>
          <w:tcPr>
            <w:tcW w:w="41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Nonaccruing loans</w:t>
            </w: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175,143</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186,432</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197,515</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175,730</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170,756</w:t>
            </w: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Loans 90 days or more past due</w:t>
            </w:r>
          </w:p>
        </w:tc>
        <w:tc>
          <w:tcPr>
            <w:tcW w:w="2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315</w:t>
            </w: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51</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2,779</w:t>
            </w: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288</w:t>
            </w: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792</w:t>
            </w:r>
          </w:p>
        </w:tc>
      </w:tr>
      <w:tr>
        <w:trPr>
          <w:trHeight w:val="142"/>
        </w:trPr>
        <w:tc>
          <w:tcPr>
            <w:tcW w:w="41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Total nonperforming loans</w:t>
            </w:r>
          </w:p>
        </w:tc>
        <w:tc>
          <w:tcPr>
            <w:tcW w:w="260" w:type="dxa"/>
            <w:vAlign w:val="bottom"/>
          </w:tcPr>
          <w:p>
            <w:pPr>
              <w:spacing w:after="0"/>
              <w:rPr>
                <w:sz w:val="12"/>
                <w:szCs w:val="12"/>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175,458</w:t>
            </w:r>
          </w:p>
        </w:tc>
        <w:tc>
          <w:tcPr>
            <w:tcW w:w="240" w:type="dxa"/>
            <w:vAlign w:val="bottom"/>
          </w:tcPr>
          <w:p>
            <w:pPr>
              <w:spacing w:after="0"/>
              <w:rPr>
                <w:sz w:val="12"/>
                <w:szCs w:val="12"/>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186,483</w:t>
            </w:r>
          </w:p>
        </w:tc>
        <w:tc>
          <w:tcPr>
            <w:tcW w:w="220" w:type="dxa"/>
            <w:vAlign w:val="bottom"/>
          </w:tcPr>
          <w:p>
            <w:pPr>
              <w:spacing w:after="0"/>
              <w:rPr>
                <w:sz w:val="12"/>
                <w:szCs w:val="12"/>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200,294</w:t>
            </w:r>
          </w:p>
        </w:tc>
        <w:tc>
          <w:tcPr>
            <w:tcW w:w="240" w:type="dxa"/>
            <w:vAlign w:val="bottom"/>
          </w:tcPr>
          <w:p>
            <w:pPr>
              <w:spacing w:after="0"/>
              <w:rPr>
                <w:sz w:val="12"/>
                <w:szCs w:val="12"/>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176,018</w:t>
            </w:r>
          </w:p>
        </w:tc>
        <w:tc>
          <w:tcPr>
            <w:tcW w:w="240" w:type="dxa"/>
            <w:vAlign w:val="bottom"/>
          </w:tcPr>
          <w:p>
            <w:pPr>
              <w:spacing w:after="0"/>
              <w:rPr>
                <w:sz w:val="12"/>
                <w:szCs w:val="12"/>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171,548</w:t>
            </w:r>
          </w:p>
        </w:tc>
      </w:tr>
      <w:tr>
        <w:trPr>
          <w:trHeight w:val="153"/>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Other real estate owned</w:t>
            </w:r>
          </w:p>
        </w:tc>
        <w:tc>
          <w:tcPr>
            <w:tcW w:w="2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15,662</w:t>
            </w: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15,571</w:t>
            </w:r>
          </w:p>
        </w:tc>
        <w:tc>
          <w:tcPr>
            <w:tcW w:w="2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12,954</w:t>
            </w: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15,191</w:t>
            </w: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10,578</w:t>
            </w:r>
          </w:p>
        </w:tc>
      </w:tr>
      <w:tr>
        <w:trPr>
          <w:trHeight w:val="142"/>
        </w:trPr>
        <w:tc>
          <w:tcPr>
            <w:tcW w:w="4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Total nonperforming assets</w:t>
            </w:r>
          </w:p>
        </w:tc>
        <w:tc>
          <w:tcPr>
            <w:tcW w:w="2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191,120</w:t>
            </w: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202,054</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213,248</w:t>
            </w: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191,209</w:t>
            </w: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182,126</w:t>
            </w:r>
          </w:p>
        </w:tc>
      </w:tr>
      <w:tr>
        <w:trPr>
          <w:trHeight w:val="162"/>
        </w:trPr>
        <w:tc>
          <w:tcPr>
            <w:tcW w:w="4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1"/>
        </w:trPr>
        <w:tc>
          <w:tcPr>
            <w:tcW w:w="4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Criticized Loans</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5"/>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Classified loans</w:t>
            </w: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337,674</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336,816</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349,068</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359,235</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392,721</w:t>
            </w:r>
          </w:p>
        </w:tc>
      </w:tr>
      <w:tr>
        <w:trPr>
          <w:trHeight w:val="151"/>
        </w:trPr>
        <w:tc>
          <w:tcPr>
            <w:tcW w:w="4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Special Mention loans</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155,835</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173,401</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176,345</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201,428</w:t>
            </w: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219,792</w:t>
            </w:r>
          </w:p>
        </w:tc>
      </w:tr>
      <w:tr>
        <w:trPr>
          <w:trHeight w:val="144"/>
        </w:trPr>
        <w:tc>
          <w:tcPr>
            <w:tcW w:w="4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Criticized loans</w:t>
            </w: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493,509</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510,217</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525,413</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560,663</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612,513</w:t>
            </w:r>
          </w:p>
        </w:tc>
      </w:tr>
      <w:tr>
        <w:trPr>
          <w:trHeight w:val="180"/>
        </w:trPr>
        <w:tc>
          <w:tcPr>
            <w:tcW w:w="4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5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Allowance for credit losses on loans</w:t>
            </w:r>
          </w:p>
        </w:tc>
        <w:tc>
          <w:tcPr>
            <w:tcW w:w="26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296,094</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296,008</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295,862</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293,955</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297,591</w:t>
            </w:r>
          </w:p>
        </w:tc>
      </w:tr>
      <w:tr>
        <w:trPr>
          <w:trHeight w:val="151"/>
        </w:trPr>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Net loan charge-offs</w:t>
            </w:r>
          </w:p>
        </w:tc>
        <w:tc>
          <w:tcPr>
            <w:tcW w:w="26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10,019</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2,770</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2,317</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9,109</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4,339</w:t>
            </w:r>
          </w:p>
        </w:tc>
      </w:tr>
      <w:tr>
        <w:trPr>
          <w:trHeight w:val="15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Annualized net loan charge-offs / average loans</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0.20 %</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0.06 %</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0.05 %</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0.19 %</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0.09 %</w:t>
            </w:r>
          </w:p>
        </w:tc>
      </w:tr>
      <w:tr>
        <w:trPr>
          <w:trHeight w:val="151"/>
        </w:trPr>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Nonperforming loans / total loans</w:t>
            </w:r>
          </w:p>
        </w:tc>
        <w:tc>
          <w:tcPr>
            <w:tcW w:w="26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0.89</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0.97</w:t>
            </w: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1.06</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0.92</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0.90</w:t>
            </w:r>
          </w:p>
        </w:tc>
      </w:tr>
      <w:tr>
        <w:trPr>
          <w:trHeight w:val="15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Nonperforming assets / total assets</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0.69</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0.75</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0.79</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0.71</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0.68</w:t>
            </w:r>
          </w:p>
        </w:tc>
      </w:tr>
      <w:tr>
        <w:trPr>
          <w:trHeight w:val="151"/>
        </w:trPr>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Allowance for credit losses on loans / total loans</w:t>
            </w:r>
          </w:p>
        </w:tc>
        <w:tc>
          <w:tcPr>
            <w:tcW w:w="26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1.50</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1.54</w:t>
            </w:r>
          </w:p>
        </w:tc>
        <w:tc>
          <w:tcPr>
            <w:tcW w:w="220" w:type="dxa"/>
            <w:vAlign w:val="bottom"/>
          </w:tcPr>
          <w:p>
            <w:pPr>
              <w:spacing w:after="0"/>
              <w:rPr>
                <w:sz w:val="13"/>
                <w:szCs w:val="13"/>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1.56</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1.54</w:t>
            </w:r>
          </w:p>
        </w:tc>
        <w:tc>
          <w:tcPr>
            <w:tcW w:w="240" w:type="dxa"/>
            <w:vAlign w:val="bottom"/>
          </w:tcPr>
          <w:p>
            <w:pPr>
              <w:spacing w:after="0"/>
              <w:rPr>
                <w:sz w:val="13"/>
                <w:szCs w:val="13"/>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1.56</w:t>
            </w:r>
          </w:p>
        </w:tc>
      </w:tr>
      <w:tr>
        <w:trPr>
          <w:trHeight w:val="15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Allowance for credit losses on loans / nonperforming loans</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168.75</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158.73</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147.71</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167.00</w:t>
            </w: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173.47</w:t>
            </w:r>
          </w:p>
        </w:tc>
      </w:tr>
      <w:tr>
        <w:trPr>
          <w:trHeight w:val="149"/>
        </w:trPr>
        <w:tc>
          <w:tcPr>
            <w:tcW w:w="4160" w:type="dxa"/>
            <w:vAlign w:val="bottom"/>
          </w:tcPr>
          <w:p>
            <w:pPr>
              <w:spacing w:after="0"/>
              <w:rPr>
                <w:sz w:val="20"/>
                <w:szCs w:val="20"/>
                <w:color w:val="auto"/>
              </w:rPr>
            </w:pPr>
            <w:r>
              <w:rPr>
                <w:rFonts w:ascii="Times New Roman" w:cs="Times New Roman" w:eastAsia="Times New Roman" w:hAnsi="Times New Roman"/>
                <w:sz w:val="11"/>
                <w:szCs w:val="11"/>
                <w:color w:val="auto"/>
              </w:rPr>
              <w:t>Criticized loans / total loans</w:t>
            </w:r>
          </w:p>
        </w:tc>
        <w:tc>
          <w:tcPr>
            <w:tcW w:w="260" w:type="dxa"/>
            <w:vAlign w:val="bottom"/>
          </w:tcPr>
          <w:p>
            <w:pPr>
              <w:spacing w:after="0"/>
              <w:rPr>
                <w:sz w:val="12"/>
                <w:szCs w:val="12"/>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2.50</w:t>
            </w:r>
          </w:p>
        </w:tc>
        <w:tc>
          <w:tcPr>
            <w:tcW w:w="240" w:type="dxa"/>
            <w:vAlign w:val="bottom"/>
          </w:tcPr>
          <w:p>
            <w:pPr>
              <w:spacing w:after="0"/>
              <w:rPr>
                <w:sz w:val="12"/>
                <w:szCs w:val="12"/>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2.66</w:t>
            </w:r>
          </w:p>
        </w:tc>
        <w:tc>
          <w:tcPr>
            <w:tcW w:w="220" w:type="dxa"/>
            <w:vAlign w:val="bottom"/>
          </w:tcPr>
          <w:p>
            <w:pPr>
              <w:spacing w:after="0"/>
              <w:rPr>
                <w:sz w:val="12"/>
                <w:szCs w:val="12"/>
                <w:color w:val="auto"/>
              </w:rPr>
            </w:pPr>
          </w:p>
        </w:tc>
        <w:tc>
          <w:tcPr>
            <w:tcW w:w="1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2.77</w:t>
            </w:r>
          </w:p>
        </w:tc>
        <w:tc>
          <w:tcPr>
            <w:tcW w:w="240" w:type="dxa"/>
            <w:vAlign w:val="bottom"/>
          </w:tcPr>
          <w:p>
            <w:pPr>
              <w:spacing w:after="0"/>
              <w:rPr>
                <w:sz w:val="12"/>
                <w:szCs w:val="12"/>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2.94</w:t>
            </w:r>
          </w:p>
        </w:tc>
        <w:tc>
          <w:tcPr>
            <w:tcW w:w="240" w:type="dxa"/>
            <w:vAlign w:val="bottom"/>
          </w:tcPr>
          <w:p>
            <w:pPr>
              <w:spacing w:after="0"/>
              <w:rPr>
                <w:sz w:val="12"/>
                <w:szCs w:val="12"/>
                <w:color w:val="auto"/>
              </w:rPr>
            </w:pPr>
          </w:p>
        </w:tc>
        <w:tc>
          <w:tcPr>
            <w:tcW w:w="11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3.22</w:t>
            </w:r>
          </w:p>
        </w:tc>
      </w:tr>
    </w:tbl>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0"/>
          </w:cols>
          <w:pgMar w:left="300" w:top="661"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CONFERENCE CALL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live audio webcast of a conference call with analysts will be available beginning at 10:00 AM Eastern Time (9:00 AM Central Time) on Wednesday, October 28, 2026.</w:t>
      </w:r>
    </w:p>
    <w:p>
      <w:pPr>
        <w:spacing w:after="0" w:line="1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color w:val="auto"/>
        </w:rPr>
        <w:t>The webcast is accessible through Renasant’s investor relations website at www.renasant.com or https://event.choruscall.com/mediaframe/webcast.html?webcastid=bTGfmpSS. To access the conference via telephone, dial 1-877-513-1143 in the United States and request the Renasant Corporation 2026 Third Quarter Earnings Webcast and Conference Call. International participants should dial 1-412-902-4145 to access the conference call.</w:t>
      </w:r>
    </w:p>
    <w:p>
      <w:pPr>
        <w:spacing w:after="0" w:line="128"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2"/>
          <w:szCs w:val="12"/>
          <w:color w:val="auto"/>
        </w:rPr>
        <w:t>The webcast will be archived on www.renasant.com after the call and will remain accessible for one year. A replay can be accessed via telephone by dialing 1-855-669-9658 in the United States and entering conference number 2791840 or by dialing 1-412-317-0088 internationally and entering the same conference number. Telephone replay access is available until November 11,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RENASANT CORPORATION:</w:t>
      </w:r>
    </w:p>
    <w:p>
      <w:pPr>
        <w:spacing w:after="0" w:line="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Renasant Corporation is the parent of Renasant Bank, a 122-year-old financial services institution. Renasant has assets of approximately $27.5 billion and operates 278 banking, lending, mortgage and wealth management offices throughout the Southeast and also offers factoring and asset-based lending on a nationwide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press release may contain, or incorporate by reference, statements about Renasant Corporation that constitute “forward-looking statements” within the meaning of Section 27A of the Securities Act of 1933, as amended, and Section 21E of the Securities Exchange Act of 1934, as amended. Statements preceded by, followed by or that otherwise include the words “believes,” “expects,” “projects,” “anticipates,” “intends,” “estimates,” “plans,” “potential,” “focus,” “possible,” “may increase,” “may fluctuate,” “will likely result,” or similar expressions, or future or conditional verbs such as “will,” “should,” “would” and “could,” are generally forward-looking in nature and not historical facts. Forward-looking statements include information about the Company’s future financial performance, business strategy, projected plans and objectives and are based on the current beliefs and expectations of management. The Company’s management believes these forward-looking statements are reasonable, but they are all inherently subject to significant business, economic and competitive risks and uncertainties, many of which are beyond the Company’s control. In addition, these forward-looking statements are subject to assumptions with respect to future business strategies and decisions that are subject to change. Actual results may differ from those indicated or implied in the forward-looking statements, and such differences may be material. Prospective investors are cautioned that any forward-looking statements are not guarantees of future performance and involve risks and uncertainties and, accordingly, investors should not place undue reliance on these forward-looking statements, which speak only as of the date they are made.</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Important factors currently known to management that could cause the Company’s actual results to differ materially from those in forward-looking statements include the following: (i) the Company’s ability to efficiently integrate acquisitions into its operations, retain the customers of these businesses, grow the acquired operations and realize the cost savings expected from an acquisition to the extent and in the timeframe anticipated by management (including the possibility that such cost savings will not be realized when expected, or at all, as a result of the impact of, or challenges arising from, the integration of the acquired assets and assumed liabilities into the Company, potential adverse reactions or changes to business or employee relationships, or as a result of other unexpected factors or events); (ii) potential exposure to unknown or contingent risks and liabilities the Company has acquired or may acquire; (iii) the effect of economic conditions and interest rates on a national, regional or international basis; (iv) timing and success of the implementation of changes in operations to achieve enhanced earnings or effect cost savings; (v) the Company’s ability to remediate the material weakness in its internal control over financial reporting identified in the Company’s Annual Report on Form 10-K for the year ended December 31, 2025 filed with the Securities and Exchange Commission (the “SEC”) on March 2, 2026; (vi) competitive pressures in the consumer finance, commercial finance, financial services, asset management, retail banking, factoring and mortgage lending and auto lending industries; (vii) the financial resources of, and products available from, competitors; (viii) changes in laws and regulations as well as changes in accounting standards; (ix) changes in governmental and regulatory policy, whether applicable specifically to financial institutions or impacting the United States generally (such as, for example, changes in trade policy); (x) changes in the securities and foreign exchange markets; (xi) the Company’s potential growth, including its entrance or expansion into new markets, and the need for sufficient capital to support that growth; (xii) changes in the quality or composition of the Company’s loan or investment portfolios, including adverse developments in borrower industries or in the repayment ability of individual borrowers or issuers of investment securities, or the impact of interest rates on the value of the Company’s investment securities portfolio;</w:t>
      </w:r>
    </w:p>
    <w:p>
      <w:pPr>
        <w:spacing w:after="0" w:line="272" w:lineRule="exact"/>
        <w:rPr>
          <w:sz w:val="20"/>
          <w:szCs w:val="20"/>
          <w:color w:val="auto"/>
        </w:rPr>
      </w:pPr>
    </w:p>
    <w:p>
      <w:pPr>
        <w:ind w:left="1118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665" w:right="299" w:bottom="1440" w:gutter="0" w:footer="0" w:header="0"/>
        </w:sectPr>
      </w:pPr>
    </w:p>
    <w:bookmarkStart w:id="14" w:name="page15"/>
    <w:bookmarkEnd w:id="14"/>
    <w:p>
      <w:pPr>
        <w:jc w:val="both"/>
        <w:ind w:left="8" w:hanging="8"/>
        <w:spacing w:after="0" w:line="254" w:lineRule="auto"/>
        <w:tabs>
          <w:tab w:leader="none" w:pos="282"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insufficient allowance for credit losses as a result of inaccurate assumptions; (xiv) changes in the sources and costs of the capital the Company uses to make loans and otherwise fund the Company’s operations, due to deposit outflows, changes in the mix of deposits and the cost and availability of borrowings; (xv) general economic, market or business conditions, including the impact of inflation; (xvi) changes in demand for loan and deposit products and other financial services; (xvii) concentrations of credit or deposit exposure; (xviii) changes or the lack of changes in interest rates, yield curves and interest rate spread relationships; (xix) losses resulting from fraudulent activity, including loan and deposit fraud and social engineering attacks targeting the Company’s customers, employees and third party vendors; (xx) increased cybersecurity risk, including potential network breaches, business disruptions or financial losses, including as a result of sophisticated attacks using artificial intelligence (“AI”) and similar tools; (xxi) civil unrest, natural disasters, epidemics and other catastrophic events in the Company’s geographic area; (xxii) geopolitical conditions, including acts or threats of terrorism and actions taken by the United States or other governments in response to acts or threats of terrorism and/or military conflicts, which could impact business and economic conditions in the United States and abroad; (xxiii) the impact, extent and timing of technological changes, including the rapid development of AI technologies; and (xxiv) other circumstances, many of which are beyond management’s control.</w:t>
      </w:r>
    </w:p>
    <w:p>
      <w:pPr>
        <w:spacing w:after="0" w:line="14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Management believes that the assumptions underlying the Company’s forward-looking statements are reasonable, but any of the assumptions could prove to be inaccurate. Investors are urged to carefully consider the risks described in the Company’s filings with the SEC from time to time, including its most recent Annual Report on Form 10-K and subsequent Quarterly Reports on Form 10-Q, which are available at www.renasant.com and the SEC’s website at www.sec.gov.</w:t>
      </w:r>
    </w:p>
    <w:p>
      <w:pPr>
        <w:spacing w:after="0" w:line="137"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The Company undertakes no obligation, and specifically disclaims any obligation, to update or revise forward-looking statements, whether as a result of new information or to reflect changed assumptions, the occurrence of unanticipated events or changes to future operating results over time, except as required by federal securities laws.</w:t>
      </w:r>
    </w:p>
    <w:p>
      <w:pPr>
        <w:spacing w:after="0" w:line="1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NON-GAAP FINANCIAL MEASURES:</w:t>
      </w:r>
    </w:p>
    <w:p>
      <w:pPr>
        <w:spacing w:after="0" w:line="37"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In addition to results presented in accordance with generally accepted accounting principles in the United States of America (“GAAP”), this press release and the presentation slides furnished to the SEC on the same Form 8-K as this release contain non-GAAP financial measures, namely, (i) adjusted loan yield, (ii) adjusted net interest income and margin, (iii) pre-provision net revenue (including on an as-adjusted basis), (iv) adjusted net income, (v) adjusted diluted earnings per share, (vi) tangible book value per share, (vii) the tangible common equity ratio, (viii) the adjusted return on average assets and on average equity and certain other performance ratios (namely, the ratio of pre-provision net revenue to average assets and the return on average tangible assets and on average tangible common equity (including each of the foregoing on an as-adjusted basis)), and (ix) the adjusted efficiency ratio.</w:t>
      </w:r>
    </w:p>
    <w:p>
      <w:pPr>
        <w:spacing w:after="0" w:line="86"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These non-GAAP financial measures adjust GAAP financial measures to exclude intangible assets, including related amortization, and/or certain gains or charges, with respect to which the Company is unable to accurately predict when these charges will be incurred or, when incurred, the amount thereof. Management uses these non-GAAP financial measures when evaluating capital utilization and adequacy. In addition, the Company believes that these non-GAAP financial measures facilitate the making of period-to-period comparisons and are meaningful indicators of its operating performance, particularly because these measures are widely used by industry analysts for companies with merger and acquisition activities. Also, because intangible assets such as goodwill and the core deposit intangible can vary extensively from company to company and, as to intangible assets, are excluded from the calculation of a financial institution’s regulatory capital, the Company believes that the presentation of this non-GAAP financial information allows readers to more easily compare the Company’s results to information provided in other regulatory reports and the results of other companies. Reconciliations of these non-GAAP financial measures to the most directly comparable GAAP financial measures are included in the tables below.</w:t>
      </w:r>
    </w:p>
    <w:p>
      <w:pPr>
        <w:spacing w:after="0" w:line="89" w:lineRule="exact"/>
        <w:rPr>
          <w:sz w:val="20"/>
          <w:szCs w:val="20"/>
          <w:color w:val="auto"/>
        </w:rPr>
      </w:pPr>
    </w:p>
    <w:p>
      <w:pPr>
        <w:jc w:val="both"/>
        <w:ind w:left="8" w:right="20"/>
        <w:spacing w:after="0" w:line="260" w:lineRule="auto"/>
        <w:rPr>
          <w:sz w:val="20"/>
          <w:szCs w:val="20"/>
          <w:color w:val="auto"/>
        </w:rPr>
      </w:pPr>
      <w:r>
        <w:rPr>
          <w:rFonts w:ascii="Times New Roman" w:cs="Times New Roman" w:eastAsia="Times New Roman" w:hAnsi="Times New Roman"/>
          <w:sz w:val="12"/>
          <w:szCs w:val="12"/>
          <w:color w:val="auto"/>
        </w:rPr>
        <w:t>None of the non-GAAP financial information that the Company has included in this release or the accompanying presentation slides is intended to be considered in isolation or as a substitute for any measure prepared in accordance with GAAP. Investors should note that, because there are no standardized definitions for the calculations as well as the results, the Company’s calculations may not be comparable to similarly titled measures presented by other companies. Also, there may be limits in the usefulness of these measures to investors. As a result, the Company encourages readers to consider its consolidated financial statements in their entirety and not to rely on any single financial measure.</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8"/>
          </w:cols>
          <w:pgMar w:left="292" w:top="66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i w:val="1"/>
          <w:iCs w:val="1"/>
          <w:color w:val="auto"/>
        </w:rPr>
        <w:t>Non-GAAP Reconciliations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 except per share data)</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0"/>
                <w:szCs w:val="10"/>
                <w:b w:val="1"/>
                <w:bCs w:val="1"/>
                <w:color w:val="auto"/>
              </w:rPr>
              <w:t>Nine Months Ended</w:t>
            </w:r>
          </w:p>
        </w:tc>
      </w:tr>
      <w:tr>
        <w:trPr>
          <w:trHeight w:val="133"/>
        </w:trPr>
        <w:tc>
          <w:tcPr>
            <w:tcW w:w="3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Sep 30, 2026</w:t>
            </w:r>
          </w:p>
        </w:tc>
        <w:tc>
          <w:tcPr>
            <w:tcW w:w="180" w:type="dxa"/>
            <w:vAlign w:val="bottom"/>
          </w:tcPr>
          <w:p>
            <w:pPr>
              <w:spacing w:after="0"/>
              <w:rPr>
                <w:sz w:val="11"/>
                <w:szCs w:val="11"/>
                <w:color w:val="auto"/>
              </w:rPr>
            </w:pPr>
          </w:p>
        </w:tc>
        <w:tc>
          <w:tcPr>
            <w:tcW w:w="880" w:type="dxa"/>
            <w:vAlign w:val="bottom"/>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Jun 30, 2026</w:t>
            </w:r>
          </w:p>
        </w:tc>
        <w:tc>
          <w:tcPr>
            <w:tcW w:w="80" w:type="dxa"/>
            <w:vAlign w:val="bottom"/>
          </w:tcPr>
          <w:p>
            <w:pPr>
              <w:spacing w:after="0"/>
              <w:rPr>
                <w:sz w:val="11"/>
                <w:szCs w:val="11"/>
                <w:color w:val="auto"/>
              </w:rPr>
            </w:pPr>
          </w:p>
        </w:tc>
        <w:tc>
          <w:tcPr>
            <w:tcW w:w="98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Mar 31, 2026</w:t>
            </w:r>
          </w:p>
        </w:tc>
        <w:tc>
          <w:tcPr>
            <w:tcW w:w="180" w:type="dxa"/>
            <w:vAlign w:val="bottom"/>
          </w:tcPr>
          <w:p>
            <w:pPr>
              <w:spacing w:after="0"/>
              <w:rPr>
                <w:sz w:val="11"/>
                <w:szCs w:val="11"/>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Dec 31, 2025</w:t>
            </w:r>
          </w:p>
        </w:tc>
        <w:tc>
          <w:tcPr>
            <w:tcW w:w="160" w:type="dxa"/>
            <w:vAlign w:val="bottom"/>
          </w:tcPr>
          <w:p>
            <w:pPr>
              <w:spacing w:after="0"/>
              <w:rPr>
                <w:sz w:val="11"/>
                <w:szCs w:val="11"/>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Sep 30, 2025</w:t>
            </w:r>
          </w:p>
        </w:tc>
        <w:tc>
          <w:tcPr>
            <w:tcW w:w="180" w:type="dxa"/>
            <w:vAlign w:val="bottom"/>
          </w:tcPr>
          <w:p>
            <w:pPr>
              <w:spacing w:after="0"/>
              <w:rPr>
                <w:sz w:val="11"/>
                <w:szCs w:val="11"/>
                <w:color w:val="auto"/>
              </w:rPr>
            </w:pPr>
          </w:p>
        </w:tc>
        <w:tc>
          <w:tcPr>
            <w:tcW w:w="90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Sep 30, 2026</w:t>
            </w:r>
          </w:p>
        </w:tc>
        <w:tc>
          <w:tcPr>
            <w:tcW w:w="160" w:type="dxa"/>
            <w:vAlign w:val="bottom"/>
          </w:tcPr>
          <w:p>
            <w:pPr>
              <w:spacing w:after="0"/>
              <w:rPr>
                <w:sz w:val="11"/>
                <w:szCs w:val="11"/>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Sep 30, 2025</w:t>
            </w:r>
          </w:p>
        </w:tc>
      </w:tr>
      <w:tr>
        <w:trPr>
          <w:trHeight w:val="142"/>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Adjusted Pre-Provision Net Revenue (“PPNR”)</w:t>
            </w: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r>
      <w:tr>
        <w:trPr>
          <w:trHeight w:val="136"/>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Net income (GAAP)</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78,949</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87,091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88,228</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78,948</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59,788</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254,268</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102,324</w:t>
            </w:r>
          </w:p>
        </w:tc>
      </w:tr>
      <w:tr>
        <w:trPr>
          <w:trHeight w:val="15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taxes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20,376</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21,553</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22,195</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17,885</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15,478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64,124</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27,575</w:t>
            </w:r>
          </w:p>
        </w:tc>
      </w:tr>
      <w:tr>
        <w:trPr>
          <w:trHeight w:val="136"/>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Provision for credit losses (including unfunded commitments)</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13,305</w:t>
            </w:r>
          </w:p>
        </w:tc>
        <w:tc>
          <w:tcPr>
            <w:tcW w:w="1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3,799</w:t>
            </w: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8,080</w:t>
            </w: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10,935</w:t>
            </w:r>
          </w:p>
        </w:tc>
        <w:tc>
          <w:tcPr>
            <w:tcW w:w="1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10,450</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25,184</w:t>
            </w: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96,522</w:t>
            </w:r>
          </w:p>
        </w:tc>
      </w:tr>
      <w:tr>
        <w:trPr>
          <w:trHeight w:val="13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Pre-provision net revenue (non-GAAP)</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112,630</w:t>
            </w: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112,443</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118,503</w:t>
            </w: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107,768</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85,716</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343,576</w:t>
            </w: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226,421</w:t>
            </w:r>
          </w:p>
        </w:tc>
      </w:tr>
      <w:tr>
        <w:trPr>
          <w:trHeight w:val="133"/>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Merger and conversion related expenses</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10,567</w:t>
            </w: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17,494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38,764</w:t>
            </w: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Gain on sales of MSR</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(1,467)</w:t>
            </w:r>
          </w:p>
        </w:tc>
      </w:tr>
      <w:tr>
        <w:trPr>
          <w:trHeight w:val="133"/>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Adjusted pre-provision net revenue (non-GAAP)</w:t>
            </w: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112,630</w:t>
            </w: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112,443</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118,294</w:t>
            </w: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118,335</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103,210</w:t>
            </w:r>
          </w:p>
        </w:tc>
        <w:tc>
          <w:tcPr>
            <w:tcW w:w="8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343,367</w:t>
            </w: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263,718</w:t>
            </w:r>
          </w:p>
        </w:tc>
      </w:tr>
      <w:tr>
        <w:trPr>
          <w:trHeight w:val="133"/>
        </w:trPr>
        <w:tc>
          <w:tcPr>
            <w:tcW w:w="3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35"/>
        </w:trPr>
        <w:tc>
          <w:tcPr>
            <w:tcW w:w="37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Adjusted Net Income and Adjusted Tangible Net Income</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 (GAAP)</w:t>
            </w: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78,949</w:t>
            </w: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87,091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88,228</w:t>
            </w:r>
          </w:p>
        </w:tc>
        <w:tc>
          <w:tcPr>
            <w:tcW w:w="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78,948</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59,788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254,268</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102,324</w:t>
            </w:r>
          </w:p>
        </w:tc>
      </w:tr>
      <w:tr>
        <w:trPr>
          <w:trHeight w:val="136"/>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Amortization of intangibles</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8,332</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8,370</w:t>
            </w: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8,220</w:t>
            </w: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8,465</w:t>
            </w: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8,674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24,922</w:t>
            </w:r>
          </w:p>
        </w:tc>
        <w:tc>
          <w:tcPr>
            <w:tcW w:w="1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18,638</w:t>
            </w: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Tax effect of adjustments noted above</w:t>
            </w:r>
            <w:r>
              <w:rPr>
                <w:rFonts w:ascii="Times New Roman" w:cs="Times New Roman" w:eastAsia="Times New Roman" w:hAnsi="Times New Roman"/>
                <w:sz w:val="12"/>
                <w:szCs w:val="12"/>
                <w:color w:val="auto"/>
                <w:vertAlign w:val="superscript"/>
              </w:rPr>
              <w:t>(1)</w:t>
            </w: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(2,075)</w:t>
            </w: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(2,084)</w:t>
            </w:r>
          </w:p>
        </w:tc>
        <w:tc>
          <w:tcPr>
            <w:tcW w:w="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(2,047)</w:t>
            </w: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(2,112)</w:t>
            </w: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(2,164)</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(6,206)</w:t>
            </w:r>
          </w:p>
        </w:tc>
        <w:tc>
          <w:tcPr>
            <w:tcW w:w="1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(4,641)</w:t>
            </w:r>
          </w:p>
        </w:tc>
      </w:tr>
      <w:tr>
        <w:trPr>
          <w:trHeight w:val="124"/>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Tangible net income (non-GAAP)</w:t>
            </w: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85,206</w:t>
            </w: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93,377</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94,401</w:t>
            </w:r>
          </w:p>
        </w:tc>
        <w:tc>
          <w:tcPr>
            <w:tcW w:w="1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85,301</w:t>
            </w: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66,298</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272,984</w:t>
            </w: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116,321</w:t>
            </w:r>
          </w:p>
        </w:tc>
      </w:tr>
      <w:tr>
        <w:trPr>
          <w:trHeight w:val="97"/>
        </w:trPr>
        <w:tc>
          <w:tcPr>
            <w:tcW w:w="37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r>
      <w:tr>
        <w:trPr>
          <w:trHeight w:val="136"/>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Net income (GAAP)</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78,949</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87,091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88,228</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78,948</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59,788</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254,268</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102,324</w:t>
            </w:r>
          </w:p>
        </w:tc>
      </w:tr>
      <w:tr>
        <w:trPr>
          <w:trHeight w:val="152"/>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Merger and conversion related expenses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10,567</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17,494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38,764</w:t>
            </w:r>
          </w:p>
        </w:tc>
      </w:tr>
      <w:tr>
        <w:trPr>
          <w:trHeight w:val="136"/>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Day 1 acquisition provision for loan losses</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62,190</w:t>
            </w: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Day 1 acquisition provision for unfunded commitments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4,422</w:t>
            </w:r>
          </w:p>
        </w:tc>
      </w:tr>
      <w:tr>
        <w:trPr>
          <w:trHeight w:val="136"/>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Gain on sales of MSR</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w:t>
            </w: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w:t>
            </w:r>
          </w:p>
        </w:tc>
        <w:tc>
          <w:tcPr>
            <w:tcW w:w="1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(1,467)</w:t>
            </w: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Tax effect of adjustments noted above</w:t>
            </w:r>
            <w:r>
              <w:rPr>
                <w:rFonts w:ascii="Times New Roman" w:cs="Times New Roman" w:eastAsia="Times New Roman" w:hAnsi="Times New Roman"/>
                <w:sz w:val="12"/>
                <w:szCs w:val="12"/>
                <w:color w:val="auto"/>
                <w:vertAlign w:val="superscript"/>
              </w:rPr>
              <w:t>(1)</w:t>
            </w: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(2,636)</w:t>
            </w:r>
          </w:p>
        </w:tc>
        <w:tc>
          <w:tcPr>
            <w:tcW w:w="1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(4,365)</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1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(25,424)</w:t>
            </w:r>
          </w:p>
        </w:tc>
      </w:tr>
      <w:tr>
        <w:trPr>
          <w:trHeight w:val="124"/>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Adjusted net income (non-GAAP)</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78,949</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87,091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88,071</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86,879</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72,917</w:t>
            </w: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254,111</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180,809</w:t>
            </w: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Amortization of intangibles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8,332</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8,370</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8,220</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8,465</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8,674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24,922</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18,638</w:t>
            </w:r>
          </w:p>
        </w:tc>
      </w:tr>
      <w:tr>
        <w:trPr>
          <w:trHeight w:val="144"/>
        </w:trPr>
        <w:tc>
          <w:tcPr>
            <w:tcW w:w="3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Tax effect of adjustments noted above</w:t>
            </w:r>
            <w:r>
              <w:rPr>
                <w:rFonts w:ascii="Times New Roman" w:cs="Times New Roman" w:eastAsia="Times New Roman" w:hAnsi="Times New Roman"/>
                <w:sz w:val="12"/>
                <w:szCs w:val="12"/>
                <w:color w:val="auto"/>
                <w:vertAlign w:val="superscript"/>
              </w:rPr>
              <w:t>(1)</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(2,075)</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(2,084)</w:t>
            </w: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(2,047)</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(2,112)</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(2,164)</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(6,206)</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(4,641)</w:t>
            </w:r>
          </w:p>
        </w:tc>
      </w:tr>
      <w:tr>
        <w:trPr>
          <w:trHeight w:val="13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Adjusted tangible net income (non-GAAP)</w:t>
            </w: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85,206</w:t>
            </w: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93,377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94,244</w:t>
            </w:r>
          </w:p>
        </w:tc>
        <w:tc>
          <w:tcPr>
            <w:tcW w:w="1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93,232</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79,427</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272,827</w:t>
            </w:r>
          </w:p>
        </w:tc>
        <w:tc>
          <w:tcPr>
            <w:tcW w:w="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194,806</w:t>
            </w:r>
          </w:p>
        </w:tc>
      </w:tr>
      <w:tr>
        <w:trPr>
          <w:trHeight w:val="17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53"/>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Tangible Assets and Tangible Shareholders’ Equity</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45"/>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Average shareholders’ equity (GAAP)</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3,880,631</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3,851,601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3,888,581</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3,849,791</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3,794,996</w:t>
            </w:r>
          </w:p>
        </w:tc>
        <w:tc>
          <w:tcPr>
            <w:tcW w:w="8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3,873,575</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3,414,952</w:t>
            </w: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Average intangible assets</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(1,551,577)</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(1,546,924)</w:t>
            </w: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(1,548,244)</w:t>
            </w: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(1,563,189)</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(1,578,846)</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(1,548,927)</w:t>
            </w: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(1,392,393)</w:t>
            </w:r>
          </w:p>
        </w:tc>
      </w:tr>
      <w:tr>
        <w:trPr>
          <w:trHeight w:val="133"/>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Average tangible shareholders’ equity (non-GAAP)</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2,329,054</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2,304,677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2,340,337</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2,286,602</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2,216,150</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2,324,648</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2,022,559</w:t>
            </w:r>
          </w:p>
        </w:tc>
      </w:tr>
      <w:tr>
        <w:trPr>
          <w:trHeight w:val="143"/>
        </w:trPr>
        <w:tc>
          <w:tcPr>
            <w:tcW w:w="3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36"/>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Average assets (GAAP)</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27,098,900</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26,800,293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26,855,360</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26,693,539</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26,456,596</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26,919,078</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23,574,047</w:t>
            </w: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Average intangible assets</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(1,551,577)</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(1,546,924)</w:t>
            </w: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(1,548,244)</w:t>
            </w: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(1,563,189)</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(1,578,846)</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(1,548,927)</w:t>
            </w: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(1,392,393)</w:t>
            </w:r>
          </w:p>
        </w:tc>
      </w:tr>
      <w:tr>
        <w:trPr>
          <w:trHeight w:val="133"/>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Average tangible assets (non-GAAP)</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25,547,323</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25,253,369</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25,307,116</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25,130,350</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24,877,750</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25,370,151</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22,181,654</w:t>
            </w:r>
          </w:p>
        </w:tc>
      </w:tr>
      <w:tr>
        <w:trPr>
          <w:trHeight w:val="143"/>
        </w:trPr>
        <w:tc>
          <w:tcPr>
            <w:tcW w:w="3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5"/>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Shareholders’ equity (GAAP)</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3,832,100</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3,871,378</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3,866,918</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3,884,905</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3,825,778</w:t>
            </w:r>
          </w:p>
        </w:tc>
        <w:tc>
          <w:tcPr>
            <w:tcW w:w="8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3,832,100</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3,825,778</w:t>
            </w: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Intangible assets</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(1,547,228)</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(1,555,560)</w:t>
            </w: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(1,545,059)</w:t>
            </w: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(1,552,452)</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(1,566,788)</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(1,547,228)</w:t>
            </w: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(1,566,788)</w:t>
            </w:r>
          </w:p>
        </w:tc>
      </w:tr>
      <w:tr>
        <w:trPr>
          <w:trHeight w:val="133"/>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Tangible shareholders’ equity (non-GAAP)</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2,284,872</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2,315,818</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2,321,859</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2,332,453</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2,258,990</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2,284,872</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2,258,990</w:t>
            </w:r>
          </w:p>
        </w:tc>
      </w:tr>
      <w:tr>
        <w:trPr>
          <w:trHeight w:val="143"/>
        </w:trPr>
        <w:tc>
          <w:tcPr>
            <w:tcW w:w="3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36"/>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Total assets (GAAP)</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27,518,181</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27,004,999</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27,107,274</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26,751,426</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26,726,165</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27,518,181</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26,726,165</w:t>
            </w:r>
          </w:p>
        </w:tc>
      </w:tr>
      <w:tr>
        <w:trPr>
          <w:trHeight w:val="14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Intangible assets</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(1,547,228)</w:t>
            </w: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(1,555,560)</w:t>
            </w: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(1,545,059)</w:t>
            </w: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(1,552,452)</w:t>
            </w: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(1,566,788)</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(1,547,228)</w:t>
            </w:r>
          </w:p>
        </w:tc>
        <w:tc>
          <w:tcPr>
            <w:tcW w:w="1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(1,566,788)</w:t>
            </w:r>
          </w:p>
        </w:tc>
      </w:tr>
      <w:tr>
        <w:trPr>
          <w:trHeight w:val="124"/>
        </w:trPr>
        <w:tc>
          <w:tcPr>
            <w:tcW w:w="3740" w:type="dxa"/>
            <w:vAlign w:val="bottom"/>
          </w:tcPr>
          <w:p>
            <w:pPr>
              <w:spacing w:after="0"/>
              <w:rPr>
                <w:sz w:val="20"/>
                <w:szCs w:val="20"/>
                <w:color w:val="auto"/>
              </w:rPr>
            </w:pPr>
            <w:r>
              <w:rPr>
                <w:rFonts w:ascii="Times New Roman" w:cs="Times New Roman" w:eastAsia="Times New Roman" w:hAnsi="Times New Roman"/>
                <w:sz w:val="10"/>
                <w:szCs w:val="10"/>
                <w:color w:val="auto"/>
              </w:rPr>
              <w:t>Total tangible assets (non-GAAP)</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25,970,953</w:t>
            </w: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25,449,439</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25,562,215</w:t>
            </w:r>
          </w:p>
        </w:tc>
        <w:tc>
          <w:tcPr>
            <w:tcW w:w="1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25,198,974</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25,159,377</w:t>
            </w: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25,970,953</w:t>
            </w:r>
          </w:p>
        </w:tc>
        <w:tc>
          <w:tcPr>
            <w:tcW w:w="16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25,159,377</w:t>
            </w:r>
          </w:p>
        </w:tc>
      </w:tr>
    </w:tbl>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0"/>
          </w:cols>
          <w:pgMar w:left="300" w:top="665"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Adjusted Performance Ratios</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6"/>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Return on average assets (GAAP)</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1.33 %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0.90 %</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0.58 %</w:t>
            </w:r>
          </w:p>
        </w:tc>
      </w:tr>
      <w:tr>
        <w:trPr>
          <w:trHeight w:val="15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Adjusted return on average assets (non-GAAP)</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1.16</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1.30</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1.33</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1.29</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1.09</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1.26</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1.03</w:t>
            </w:r>
          </w:p>
        </w:tc>
      </w:tr>
      <w:tr>
        <w:trPr>
          <w:trHeight w:val="136"/>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Return on average tangible assets (non-GAAP)</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1.32</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1.51</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1.35</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1.06</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1.44</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0.70</w:t>
            </w:r>
          </w:p>
        </w:tc>
      </w:tr>
      <w:tr>
        <w:trPr>
          <w:trHeight w:val="15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Pre-provision net revenue to average assets (non-GAAP)</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1.65</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1.68</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1.79</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1.60</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1.29</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1.71</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1.28</w:t>
            </w:r>
          </w:p>
        </w:tc>
      </w:tr>
      <w:tr>
        <w:trPr>
          <w:trHeight w:val="136"/>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Adjusted pre-provision net revenue to average assets (non-GAAP)</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1.65</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1.68</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1.79</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1.76</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1.55</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1.71</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w:t>
            </w:r>
          </w:p>
        </w:tc>
      </w:tr>
      <w:tr>
        <w:trPr>
          <w:trHeight w:val="15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Adjusted return on average tangible assets (non-GAAP)</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1.32</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1.48</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1.51</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1.47</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1.27</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1.44</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1.17</w:t>
            </w:r>
          </w:p>
        </w:tc>
      </w:tr>
      <w:tr>
        <w:trPr>
          <w:trHeight w:val="135"/>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Return on average equity (GAAP)</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8.07</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9.07</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9.20</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8.14</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6.25</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8.78</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4.01</w:t>
            </w:r>
          </w:p>
        </w:tc>
      </w:tr>
      <w:tr>
        <w:trPr>
          <w:trHeight w:val="15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Adjusted return on average equity (non-GAAP)</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8.07</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9.07</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9.19</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8.95</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7.62</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8.77</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7.08</w:t>
            </w:r>
          </w:p>
        </w:tc>
      </w:tr>
      <w:tr>
        <w:trPr>
          <w:trHeight w:val="136"/>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Return on average tangible equity (non-GAAP)</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14.51</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16.25</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16.36</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14.80</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11.87</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15.70</w:t>
            </w:r>
          </w:p>
        </w:tc>
        <w:tc>
          <w:tcPr>
            <w:tcW w:w="360" w:type="dxa"/>
            <w:vAlign w:val="bottom"/>
          </w:tcPr>
          <w:p>
            <w:pPr>
              <w:spacing w:after="0"/>
              <w:rPr>
                <w:sz w:val="11"/>
                <w:szCs w:val="11"/>
                <w:color w:val="auto"/>
              </w:rPr>
            </w:pP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7.69</w:t>
            </w:r>
          </w:p>
        </w:tc>
      </w:tr>
      <w:tr>
        <w:trPr>
          <w:trHeight w:val="15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Adjusted return on average tangible equity (non-GAAP)</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14.51</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16.25</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16.33</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16.18</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14.22</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15.69</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12.88</w:t>
            </w:r>
          </w:p>
        </w:tc>
      </w:tr>
      <w:tr>
        <w:trPr>
          <w:trHeight w:val="135"/>
        </w:trPr>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Adjusted Diluted Earnings Per Share</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6"/>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Average diluted shares outstanding</w:t>
            </w:r>
          </w:p>
        </w:tc>
        <w:tc>
          <w:tcPr>
            <w:tcW w:w="360" w:type="dxa"/>
            <w:vAlign w:val="bottom"/>
          </w:tcPr>
          <w:p>
            <w:pPr>
              <w:spacing w:after="0"/>
              <w:rPr>
                <w:sz w:val="11"/>
                <w:szCs w:val="11"/>
                <w:color w:val="auto"/>
              </w:rPr>
            </w:pPr>
          </w:p>
        </w:tc>
        <w:tc>
          <w:tcPr>
            <w:tcW w:w="7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91,557,082</w:t>
            </w:r>
          </w:p>
        </w:tc>
        <w:tc>
          <w:tcPr>
            <w:tcW w:w="360" w:type="dxa"/>
            <w:vAlign w:val="bottom"/>
          </w:tcPr>
          <w:p>
            <w:pPr>
              <w:spacing w:after="0"/>
              <w:rPr>
                <w:sz w:val="11"/>
                <w:szCs w:val="11"/>
                <w:color w:val="auto"/>
              </w:rPr>
            </w:pPr>
          </w:p>
        </w:tc>
        <w:tc>
          <w:tcPr>
            <w:tcW w:w="7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92,220,282</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94,228,343</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95,172,380</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95,284,603</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92,661,200</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84,934,390</w:t>
            </w:r>
          </w:p>
        </w:tc>
      </w:tr>
      <w:tr>
        <w:trPr>
          <w:trHeight w:val="143"/>
        </w:trPr>
        <w:tc>
          <w:tcPr>
            <w:tcW w:w="3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6"/>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Diluted earnings per share (GAAP)</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0.86</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0.94</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0.94</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0.83</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0.63</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2.74</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w:t>
            </w:r>
          </w:p>
        </w:tc>
      </w:tr>
      <w:tr>
        <w:trPr>
          <w:trHeight w:val="15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Adjusted diluted earnings per share (non-GAAP)</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0.86</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0.94</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0.93</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0.91</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0.77</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2.74</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2.13</w:t>
            </w:r>
          </w:p>
        </w:tc>
      </w:tr>
      <w:tr>
        <w:trPr>
          <w:trHeight w:val="135"/>
        </w:trPr>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Tangible Book Value Per Share</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5"/>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Shares outstanding</w:t>
            </w:r>
          </w:p>
        </w:tc>
        <w:tc>
          <w:tcPr>
            <w:tcW w:w="360" w:type="dxa"/>
            <w:vAlign w:val="bottom"/>
          </w:tcPr>
          <w:p>
            <w:pPr>
              <w:spacing w:after="0"/>
              <w:rPr>
                <w:sz w:val="11"/>
                <w:szCs w:val="11"/>
                <w:color w:val="auto"/>
              </w:rPr>
            </w:pPr>
          </w:p>
        </w:tc>
        <w:tc>
          <w:tcPr>
            <w:tcW w:w="7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90,356,578</w:t>
            </w:r>
          </w:p>
        </w:tc>
        <w:tc>
          <w:tcPr>
            <w:tcW w:w="360" w:type="dxa"/>
            <w:vAlign w:val="bottom"/>
          </w:tcPr>
          <w:p>
            <w:pPr>
              <w:spacing w:after="0"/>
              <w:rPr>
                <w:sz w:val="11"/>
                <w:szCs w:val="11"/>
                <w:color w:val="auto"/>
              </w:rPr>
            </w:pPr>
          </w:p>
        </w:tc>
        <w:tc>
          <w:tcPr>
            <w:tcW w:w="740" w:type="dxa"/>
            <w:vAlign w:val="bottom"/>
          </w:tcPr>
          <w:p>
            <w:pPr>
              <w:jc w:val="center"/>
              <w:ind w:left="252"/>
              <w:spacing w:after="0"/>
              <w:rPr>
                <w:sz w:val="20"/>
                <w:szCs w:val="20"/>
                <w:color w:val="auto"/>
              </w:rPr>
            </w:pPr>
            <w:r>
              <w:rPr>
                <w:rFonts w:ascii="Times New Roman" w:cs="Times New Roman" w:eastAsia="Times New Roman" w:hAnsi="Times New Roman"/>
                <w:sz w:val="10"/>
                <w:szCs w:val="10"/>
                <w:color w:val="auto"/>
                <w:w w:val="97"/>
              </w:rPr>
              <w:t>91,403,230</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92,881,329</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94,636,207</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95,020,881</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90,356,578</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95,020,881</w:t>
            </w:r>
          </w:p>
        </w:tc>
      </w:tr>
      <w:tr>
        <w:trPr>
          <w:trHeight w:val="143"/>
        </w:trPr>
        <w:tc>
          <w:tcPr>
            <w:tcW w:w="3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6"/>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Book value per share (GAAP)</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42.41</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42.35</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41.63</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41.05</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40.26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42.41</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40.26</w:t>
            </w:r>
          </w:p>
        </w:tc>
      </w:tr>
      <w:tr>
        <w:trPr>
          <w:trHeight w:val="15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Tangible book value per share (non-GAAP)</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25.29</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25.34</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25.00</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24.65</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23.77</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25.29</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23.77</w:t>
            </w:r>
          </w:p>
        </w:tc>
      </w:tr>
      <w:tr>
        <w:trPr>
          <w:trHeight w:val="135"/>
        </w:trPr>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Tangible Common Equity Ratio</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5"/>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Shareholders’ equity to assets (GAAP)</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13.93 %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14.34 %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14.27 %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14.52 %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14.31 %</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13.93 %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14.31 %</w:t>
            </w:r>
          </w:p>
        </w:tc>
      </w:tr>
      <w:tr>
        <w:trPr>
          <w:trHeight w:val="15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Tangible common equity ratio (non-GAAP)</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8.80 %</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9.10 %</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9.08 %</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9.26 %</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8.98 %</w:t>
            </w: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8.80 %</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8.98 %</w:t>
            </w:r>
          </w:p>
        </w:tc>
      </w:tr>
      <w:tr>
        <w:trPr>
          <w:trHeight w:val="144"/>
        </w:trPr>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Adjusted Efficiency Ratio</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6"/>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Net interest income (FTE) (GAAP)</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228,601</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227,657</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228,424</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232,361</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228,131</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684,682</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588,280</w:t>
            </w:r>
          </w:p>
        </w:tc>
      </w:tr>
      <w:tr>
        <w:trPr>
          <w:trHeight w:val="143"/>
        </w:trPr>
        <w:tc>
          <w:tcPr>
            <w:tcW w:w="3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5"/>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Total noninterest income (GAAP)</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49,275</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51,190</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50,272</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51,125</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46,026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150,737</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130,755</w:t>
            </w:r>
          </w:p>
        </w:tc>
      </w:tr>
      <w:tr>
        <w:trPr>
          <w:trHeight w:val="14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Gain on sales of MSR</w:t>
            </w: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(209)</w:t>
            </w: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(209)</w:t>
            </w:r>
          </w:p>
        </w:tc>
        <w:tc>
          <w:tcPr>
            <w:tcW w:w="3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(1,467)</w:t>
            </w:r>
          </w:p>
        </w:tc>
      </w:tr>
      <w:tr>
        <w:trPr>
          <w:trHeight w:val="133"/>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Total adjusted noninterest income (non-GAAP)</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49,275</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51,190</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50,063</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51,125</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46,026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150,528</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129,288</w:t>
            </w:r>
          </w:p>
        </w:tc>
      </w:tr>
      <w:tr>
        <w:trPr>
          <w:trHeight w:val="143"/>
        </w:trPr>
        <w:tc>
          <w:tcPr>
            <w:tcW w:w="3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6"/>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Noninterest expense (GAAP)</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160,334</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161,501</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155,328</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170,750</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183,830</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477,163</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480,910</w:t>
            </w:r>
          </w:p>
        </w:tc>
      </w:tr>
      <w:tr>
        <w:trPr>
          <w:trHeight w:val="15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Amortization of intangibles</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0"/>
                <w:szCs w:val="10"/>
                <w:color w:val="auto"/>
                <w:w w:val="95"/>
              </w:rPr>
              <w:t>(8,332)</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center"/>
              <w:ind w:left="212"/>
              <w:spacing w:after="0"/>
              <w:rPr>
                <w:sz w:val="20"/>
                <w:szCs w:val="20"/>
                <w:color w:val="auto"/>
              </w:rPr>
            </w:pPr>
            <w:r>
              <w:rPr>
                <w:rFonts w:ascii="Times New Roman" w:cs="Times New Roman" w:eastAsia="Times New Roman" w:hAnsi="Times New Roman"/>
                <w:sz w:val="10"/>
                <w:szCs w:val="10"/>
                <w:color w:val="auto"/>
                <w:w w:val="95"/>
              </w:rPr>
              <w:t>(8,370)</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(8,220)</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(8,465)</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(8,674)</w:t>
            </w:r>
          </w:p>
        </w:tc>
        <w:tc>
          <w:tcPr>
            <w:tcW w:w="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(24,922)</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(18,638)</w:t>
            </w:r>
          </w:p>
        </w:tc>
      </w:tr>
      <w:tr>
        <w:trPr>
          <w:trHeight w:val="136"/>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Merger and conversion expense</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(10,567)</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(17,494)</w:t>
            </w:r>
          </w:p>
        </w:tc>
        <w:tc>
          <w:tcPr>
            <w:tcW w:w="14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(38,764)</w:t>
            </w:r>
          </w:p>
        </w:tc>
      </w:tr>
      <w:tr>
        <w:trPr>
          <w:trHeight w:val="158"/>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adjusted noninterest expense (non-GAAP)</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152,002</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153,131</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147,108</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151,718</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157,662</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452,241</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423,508</w:t>
            </w:r>
          </w:p>
        </w:tc>
      </w:tr>
      <w:tr>
        <w:trPr>
          <w:trHeight w:val="126"/>
        </w:trPr>
        <w:tc>
          <w:tcPr>
            <w:tcW w:w="346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r>
      <w:tr>
        <w:trPr>
          <w:trHeight w:val="144"/>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Efficiency ratio (GAAP)</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57.70 %</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57.92 %</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55.73 %</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60.23 %</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67.05 %</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57.12 %</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66.88 %</w:t>
            </w:r>
          </w:p>
        </w:tc>
      </w:tr>
      <w:tr>
        <w:trPr>
          <w:trHeight w:val="127"/>
        </w:trPr>
        <w:tc>
          <w:tcPr>
            <w:tcW w:w="3460" w:type="dxa"/>
            <w:vAlign w:val="bottom"/>
          </w:tcPr>
          <w:p>
            <w:pPr>
              <w:spacing w:after="0"/>
              <w:rPr>
                <w:sz w:val="20"/>
                <w:szCs w:val="20"/>
                <w:color w:val="auto"/>
              </w:rPr>
            </w:pPr>
            <w:r>
              <w:rPr>
                <w:rFonts w:ascii="Times New Roman" w:cs="Times New Roman" w:eastAsia="Times New Roman" w:hAnsi="Times New Roman"/>
                <w:sz w:val="10"/>
                <w:szCs w:val="10"/>
                <w:color w:val="auto"/>
              </w:rPr>
              <w:t>Adjusted efficiency ratio (non-GAAP)</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54.70 %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54.92 %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52.82 %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53.52 %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57.51 %</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54.15 %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59.02 %</w:t>
            </w:r>
          </w:p>
        </w:tc>
      </w:tr>
    </w:tbl>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0"/>
          </w:cols>
          <w:pgMar w:left="300" w:top="698" w:right="299" w:bottom="1440" w:gutter="0" w:footer="0" w:header="0"/>
        </w:sectPr>
      </w:pPr>
    </w:p>
    <w:bookmarkStart w:id="17" w:name="page18"/>
    <w:bookmarkEnd w:id="17"/>
    <w:tbl>
      <w:tblPr>
        <w:tblLayout w:type="fixed"/>
        <w:tblInd w:w="8" w:type="dxa"/>
        <w:tblCellMar>
          <w:top w:w="0" w:type="dxa"/>
          <w:left w:w="0" w:type="dxa"/>
          <w:bottom w:w="0" w:type="dxa"/>
          <w:right w:w="0" w:type="dxa"/>
        </w:tblCellMar>
      </w:tblPr>
      <w:tr>
        <w:trPr>
          <w:trHeight w:val="14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Adjusted Net Interest Income and Adjusted Net Interest Margin</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6"/>
        </w:trPr>
        <w:tc>
          <w:tcPr>
            <w:tcW w:w="3480" w:type="dxa"/>
            <w:vAlign w:val="bottom"/>
          </w:tcPr>
          <w:p>
            <w:pPr>
              <w:spacing w:after="0"/>
              <w:rPr>
                <w:sz w:val="20"/>
                <w:szCs w:val="20"/>
                <w:color w:val="auto"/>
              </w:rPr>
            </w:pPr>
            <w:r>
              <w:rPr>
                <w:rFonts w:ascii="Times New Roman" w:cs="Times New Roman" w:eastAsia="Times New Roman" w:hAnsi="Times New Roman"/>
                <w:sz w:val="10"/>
                <w:szCs w:val="10"/>
                <w:color w:val="auto"/>
              </w:rPr>
              <w:t>Net interest income (FTE) (GAAP)</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228,601</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227,657</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228,424</w:t>
            </w:r>
          </w:p>
        </w:tc>
        <w:tc>
          <w:tcPr>
            <w:tcW w:w="3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232,361</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228,131</w:t>
            </w:r>
          </w:p>
        </w:tc>
        <w:tc>
          <w:tcPr>
            <w:tcW w:w="80" w:type="dxa"/>
            <w:vAlign w:val="bottom"/>
          </w:tcPr>
          <w:p>
            <w:pPr>
              <w:spacing w:after="0"/>
              <w:rPr>
                <w:sz w:val="11"/>
                <w:szCs w:val="11"/>
                <w:color w:val="auto"/>
              </w:rPr>
            </w:pP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684,682</w:t>
            </w:r>
          </w:p>
        </w:tc>
        <w:tc>
          <w:tcPr>
            <w:tcW w:w="3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588,280</w:t>
            </w:r>
          </w:p>
        </w:tc>
      </w:tr>
      <w:tr>
        <w:trPr>
          <w:trHeight w:val="15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interest income collected on problem loans</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(1,166)</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(2,767)</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(664)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(2,217)</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(4,469)</w:t>
            </w:r>
          </w:p>
        </w:tc>
      </w:tr>
      <w:tr>
        <w:trPr>
          <w:trHeight w:val="135"/>
        </w:trPr>
        <w:tc>
          <w:tcPr>
            <w:tcW w:w="3480" w:type="dxa"/>
            <w:vAlign w:val="bottom"/>
          </w:tcPr>
          <w:p>
            <w:pPr>
              <w:spacing w:after="0"/>
              <w:rPr>
                <w:sz w:val="20"/>
                <w:szCs w:val="20"/>
                <w:color w:val="auto"/>
              </w:rPr>
            </w:pPr>
            <w:r>
              <w:rPr>
                <w:rFonts w:ascii="Times New Roman" w:cs="Times New Roman" w:eastAsia="Times New Roman" w:hAnsi="Times New Roman"/>
                <w:sz w:val="10"/>
                <w:szCs w:val="10"/>
                <w:color w:val="auto"/>
              </w:rPr>
              <w:t>Accretion recognized on purchased loans</w:t>
            </w:r>
          </w:p>
        </w:tc>
        <w:tc>
          <w:tcPr>
            <w:tcW w:w="360" w:type="dxa"/>
            <w:vAlign w:val="bottom"/>
          </w:tcPr>
          <w:p>
            <w:pPr>
              <w:spacing w:after="0"/>
              <w:rPr>
                <w:sz w:val="11"/>
                <w:szCs w:val="1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(10,481)</w:t>
            </w:r>
          </w:p>
        </w:tc>
        <w:tc>
          <w:tcPr>
            <w:tcW w:w="360" w:type="dxa"/>
            <w:vAlign w:val="bottom"/>
          </w:tcPr>
          <w:p>
            <w:pPr>
              <w:spacing w:after="0"/>
              <w:rPr>
                <w:sz w:val="11"/>
                <w:szCs w:val="1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(12,327)</w:t>
            </w:r>
          </w:p>
        </w:tc>
        <w:tc>
          <w:tcPr>
            <w:tcW w:w="360" w:type="dxa"/>
            <w:vAlign w:val="bottom"/>
          </w:tcPr>
          <w:p>
            <w:pPr>
              <w:spacing w:after="0"/>
              <w:rPr>
                <w:sz w:val="11"/>
                <w:szCs w:val="1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(15,248)</w:t>
            </w:r>
          </w:p>
        </w:tc>
        <w:tc>
          <w:tcPr>
            <w:tcW w:w="380" w:type="dxa"/>
            <w:vAlign w:val="bottom"/>
          </w:tcPr>
          <w:p>
            <w:pPr>
              <w:spacing w:after="0"/>
              <w:rPr>
                <w:sz w:val="11"/>
                <w:szCs w:val="1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(13,632)</w:t>
            </w:r>
          </w:p>
        </w:tc>
        <w:tc>
          <w:tcPr>
            <w:tcW w:w="360" w:type="dxa"/>
            <w:vAlign w:val="bottom"/>
          </w:tcPr>
          <w:p>
            <w:pPr>
              <w:spacing w:after="0"/>
              <w:rPr>
                <w:sz w:val="11"/>
                <w:szCs w:val="1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(16,862)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(38,056)</w:t>
            </w:r>
          </w:p>
        </w:tc>
        <w:tc>
          <w:tcPr>
            <w:tcW w:w="380" w:type="dxa"/>
            <w:vAlign w:val="bottom"/>
          </w:tcPr>
          <w:p>
            <w:pPr>
              <w:spacing w:after="0"/>
              <w:rPr>
                <w:sz w:val="11"/>
                <w:szCs w:val="1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(35,254)</w:t>
            </w:r>
          </w:p>
        </w:tc>
      </w:tr>
      <w:tr>
        <w:trPr>
          <w:trHeight w:val="15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Amortization recognized on purchased time deposits</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2,995</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7,391</w:t>
            </w:r>
          </w:p>
        </w:tc>
      </w:tr>
      <w:tr>
        <w:trPr>
          <w:trHeight w:val="136"/>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Amortization recognized on purchased long term borrowings</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336</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336</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336</w:t>
            </w: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335</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837</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1,008</w:t>
            </w: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1,909</w:t>
            </w:r>
          </w:p>
        </w:tc>
      </w:tr>
      <w:tr>
        <w:trPr>
          <w:trHeight w:val="13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Adjustments to net interest income</w:t>
            </w: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(10,986)</w:t>
            </w: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(13,157)</w:t>
            </w: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(15,122)</w:t>
            </w: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(16,064)</w:t>
            </w: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(13,694)</w:t>
            </w: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(39,265)</w:t>
            </w: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(30,423)</w:t>
            </w:r>
          </w:p>
        </w:tc>
      </w:tr>
      <w:tr>
        <w:trPr>
          <w:trHeight w:val="133"/>
        </w:trPr>
        <w:tc>
          <w:tcPr>
            <w:tcW w:w="3480" w:type="dxa"/>
            <w:vAlign w:val="bottom"/>
          </w:tcPr>
          <w:p>
            <w:pPr>
              <w:spacing w:after="0"/>
              <w:rPr>
                <w:sz w:val="20"/>
                <w:szCs w:val="20"/>
                <w:color w:val="auto"/>
              </w:rPr>
            </w:pPr>
            <w:r>
              <w:rPr>
                <w:rFonts w:ascii="Times New Roman" w:cs="Times New Roman" w:eastAsia="Times New Roman" w:hAnsi="Times New Roman"/>
                <w:sz w:val="10"/>
                <w:szCs w:val="10"/>
                <w:color w:val="auto"/>
              </w:rPr>
              <w:t>Adjusted net interest income (FTE) (non-GAAP)</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217,615</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214,500</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213,302</w:t>
            </w:r>
          </w:p>
        </w:tc>
        <w:tc>
          <w:tcPr>
            <w:tcW w:w="3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216,297</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214,437</w:t>
            </w:r>
          </w:p>
        </w:tc>
        <w:tc>
          <w:tcPr>
            <w:tcW w:w="80" w:type="dxa"/>
            <w:vAlign w:val="bottom"/>
          </w:tcPr>
          <w:p>
            <w:pPr>
              <w:spacing w:after="0"/>
              <w:rPr>
                <w:sz w:val="11"/>
                <w:szCs w:val="11"/>
                <w:color w:val="auto"/>
              </w:rPr>
            </w:pP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645,417</w:t>
            </w:r>
          </w:p>
        </w:tc>
        <w:tc>
          <w:tcPr>
            <w:tcW w:w="3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557,857</w:t>
            </w:r>
          </w:p>
        </w:tc>
      </w:tr>
      <w:tr>
        <w:trPr>
          <w:trHeight w:val="143"/>
        </w:trPr>
        <w:tc>
          <w:tcPr>
            <w:tcW w:w="3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6"/>
        </w:trPr>
        <w:tc>
          <w:tcPr>
            <w:tcW w:w="3480" w:type="dxa"/>
            <w:vAlign w:val="bottom"/>
          </w:tcPr>
          <w:p>
            <w:pPr>
              <w:spacing w:after="0"/>
              <w:rPr>
                <w:sz w:val="20"/>
                <w:szCs w:val="20"/>
                <w:color w:val="auto"/>
              </w:rPr>
            </w:pPr>
            <w:r>
              <w:rPr>
                <w:rFonts w:ascii="Times New Roman" w:cs="Times New Roman" w:eastAsia="Times New Roman" w:hAnsi="Times New Roman"/>
                <w:sz w:val="10"/>
                <w:szCs w:val="10"/>
                <w:color w:val="auto"/>
              </w:rPr>
              <w:t>Net interest margin (FTE) (GAAP)</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3.77 %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3.83 %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3.87 %</w:t>
            </w:r>
          </w:p>
        </w:tc>
        <w:tc>
          <w:tcPr>
            <w:tcW w:w="3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3.89 %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3.85 %</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3.82 %</w:t>
            </w:r>
          </w:p>
        </w:tc>
        <w:tc>
          <w:tcPr>
            <w:tcW w:w="3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3.75 %</w:t>
            </w:r>
          </w:p>
        </w:tc>
      </w:tr>
      <w:tr>
        <w:trPr>
          <w:trHeight w:val="15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Adjusted net interest margin (FTE) (non-GAAP)</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3.58 %</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3.61 %</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3.61 %</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3.62 %</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3.62 %</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3.60 %</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3.55 %</w:t>
            </w:r>
          </w:p>
        </w:tc>
      </w:tr>
      <w:tr>
        <w:trPr>
          <w:trHeight w:val="144"/>
        </w:trPr>
        <w:tc>
          <w:tcPr>
            <w:tcW w:w="3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Adjusted Loan Yield</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36"/>
        </w:trPr>
        <w:tc>
          <w:tcPr>
            <w:tcW w:w="3480" w:type="dxa"/>
            <w:vAlign w:val="bottom"/>
          </w:tcPr>
          <w:p>
            <w:pPr>
              <w:spacing w:after="0"/>
              <w:rPr>
                <w:sz w:val="20"/>
                <w:szCs w:val="20"/>
                <w:color w:val="auto"/>
              </w:rPr>
            </w:pPr>
            <w:r>
              <w:rPr>
                <w:rFonts w:ascii="Times New Roman" w:cs="Times New Roman" w:eastAsia="Times New Roman" w:hAnsi="Times New Roman"/>
                <w:sz w:val="10"/>
                <w:szCs w:val="10"/>
                <w:color w:val="auto"/>
              </w:rPr>
              <w:t>Loan interest income (FTE) (GAAP)</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308,666</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300,112</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299,125</w:t>
            </w:r>
          </w:p>
        </w:tc>
        <w:tc>
          <w:tcPr>
            <w:tcW w:w="3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309,667</w:t>
            </w: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311,903</w:t>
            </w:r>
          </w:p>
        </w:tc>
        <w:tc>
          <w:tcPr>
            <w:tcW w:w="80" w:type="dxa"/>
            <w:vAlign w:val="bottom"/>
          </w:tcPr>
          <w:p>
            <w:pPr>
              <w:spacing w:after="0"/>
              <w:rPr>
                <w:sz w:val="11"/>
                <w:szCs w:val="11"/>
                <w:color w:val="auto"/>
              </w:rPr>
            </w:pP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907,903</w:t>
            </w:r>
          </w:p>
        </w:tc>
        <w:tc>
          <w:tcPr>
            <w:tcW w:w="3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816,241</w:t>
            </w:r>
          </w:p>
        </w:tc>
      </w:tr>
      <w:tr>
        <w:trPr>
          <w:trHeight w:val="153"/>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interest income collected on problem loans</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(841)</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(1,166)</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(210)</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(2,767)</w:t>
            </w: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(664)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(2,217)</w:t>
            </w: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(4,469)</w:t>
            </w:r>
          </w:p>
        </w:tc>
      </w:tr>
      <w:tr>
        <w:trPr>
          <w:trHeight w:val="136"/>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Accretion recognized on purchased loans</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(10,481)</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(12,327)</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(15,248)</w:t>
            </w: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(13,632)</w:t>
            </w: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(16,862)</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(38,056)</w:t>
            </w:r>
          </w:p>
        </w:tc>
        <w:tc>
          <w:tcPr>
            <w:tcW w:w="3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(35,254)</w:t>
            </w:r>
          </w:p>
        </w:tc>
      </w:tr>
      <w:tr>
        <w:trPr>
          <w:trHeight w:val="141"/>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Adjusted loan interest income (FTE) (non-GAAP)</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297,344</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286,619</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283,667</w:t>
            </w:r>
          </w:p>
        </w:tc>
        <w:tc>
          <w:tcPr>
            <w:tcW w:w="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293,268</w:t>
            </w: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294,377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867,630</w:t>
            </w:r>
          </w:p>
        </w:tc>
        <w:tc>
          <w:tcPr>
            <w:tcW w:w="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776,518</w:t>
            </w:r>
          </w:p>
        </w:tc>
      </w:tr>
      <w:tr>
        <w:trPr>
          <w:trHeight w:val="135"/>
        </w:trPr>
        <w:tc>
          <w:tcPr>
            <w:tcW w:w="3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4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Loan yield (GAAP)</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6.31 %</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6.31 %</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6.37 %</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6.45 %</w:t>
            </w: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6.60 %</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6.33 %</w:t>
            </w: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6.52 %</w:t>
            </w:r>
          </w:p>
        </w:tc>
      </w:tr>
      <w:tr>
        <w:trPr>
          <w:trHeight w:val="127"/>
        </w:trPr>
        <w:tc>
          <w:tcPr>
            <w:tcW w:w="3480" w:type="dxa"/>
            <w:vAlign w:val="bottom"/>
          </w:tcPr>
          <w:p>
            <w:pPr>
              <w:spacing w:after="0"/>
              <w:rPr>
                <w:sz w:val="20"/>
                <w:szCs w:val="20"/>
                <w:color w:val="auto"/>
              </w:rPr>
            </w:pPr>
            <w:r>
              <w:rPr>
                <w:rFonts w:ascii="Times New Roman" w:cs="Times New Roman" w:eastAsia="Times New Roman" w:hAnsi="Times New Roman"/>
                <w:sz w:val="10"/>
                <w:szCs w:val="10"/>
                <w:color w:val="auto"/>
              </w:rPr>
              <w:t>Adjusted loan yield (non-GAAP)</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6.08 %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6.03 %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6.04 %</w:t>
            </w:r>
          </w:p>
        </w:tc>
        <w:tc>
          <w:tcPr>
            <w:tcW w:w="3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6.11 %</w:t>
            </w: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6.23 %</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6.05 %</w:t>
            </w:r>
          </w:p>
        </w:tc>
        <w:tc>
          <w:tcPr>
            <w:tcW w:w="3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6.20 %</w:t>
            </w:r>
          </w:p>
        </w:tc>
      </w:tr>
    </w:tbl>
    <w:p>
      <w:pPr>
        <w:spacing w:after="0" w:line="63" w:lineRule="exact"/>
        <w:rPr>
          <w:sz w:val="20"/>
          <w:szCs w:val="20"/>
          <w:color w:val="auto"/>
        </w:rPr>
      </w:pPr>
    </w:p>
    <w:p>
      <w:pPr>
        <w:ind w:left="88" w:hanging="88"/>
        <w:spacing w:after="0"/>
        <w:tabs>
          <w:tab w:leader="none" w:pos="88" w:val="left"/>
        </w:tabs>
        <w:numPr>
          <w:ilvl w:val="0"/>
          <w:numId w:val="15"/>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Tax effect is calculated based on the respective legal entity’s appropriate federal and state tax rates (as applicable) for the period, and includes the estimated impact of both current and deferred tax expense.</w:t>
      </w:r>
    </w:p>
    <w:p>
      <w:pPr>
        <w:spacing w:after="0" w:line="3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8"/>
          </w:cols>
          <w:pgMar w:left="292" w:top="698" w:right="299" w:bottom="1440"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Roman"/>
      <w:start w:val="13"/>
    </w:lvl>
  </w:abstractNum>
  <w:abstractNum w:abstractNumId="2">
    <w:nsid w:val="5BD062C2"/>
    <w:multiLevelType w:val="hybridMultilevel"/>
    <w:lvl w:ilvl="0">
      <w:lvlJc w:val="left"/>
      <w:lvlText w:val="(%1)"/>
      <w:numFmt w:val="lowerLetter"/>
      <w:start w:val="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lvl>
    <w:lvl w:ilvl="1">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lowerRoman"/>
      <w:start w:val="13"/>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2026-10-27T15:50:32Z</dcterms:created>
  <dcterms:modified xsi:type="dcterms:W3CDTF">2026-10-27T15:50:32Z</dcterms:modified>
</cp:coreProperties>
</file>