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36"/>
        </w:rPr>
      </w:pPr>
      <w:r>
        <w:rPr>
          <w:rFonts w:ascii="Times New Roman;serif" w:hAnsi="Times New Roman;serif"/>
          <w:b w:val="false"/>
          <w:color w:val="000000"/>
          <w:sz w:val="36"/>
        </w:rPr>
        <w:t xml:space="preserve">UNITED STATES </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SECURITIES AND EXCHANGE COMMISSION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Washington, D.C. 20549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July 28, 2026</w:t>
      </w:r>
    </w:p>
    <w:p>
      <w:pPr>
        <w:pStyle w:val="TextBody"/>
        <w:bidi w:val="0"/>
        <w:spacing w:lineRule="auto" w:line="480" w:before="0" w:after="10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RENASANT CORPORATION</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73" w:type="dxa"/>
        <w:jc w:val="center"/>
        <w:tblInd w:w="0" w:type="dxa"/>
        <w:tblLayout w:type="fixed"/>
        <w:tblCellMar>
          <w:top w:w="28" w:type="dxa"/>
          <w:left w:w="28" w:type="dxa"/>
          <w:bottom w:w="28" w:type="dxa"/>
          <w:right w:w="28" w:type="dxa"/>
        </w:tblCellMar>
      </w:tblPr>
      <w:tblGrid>
        <w:gridCol w:w="829"/>
        <w:gridCol w:w="731"/>
        <w:gridCol w:w="734"/>
        <w:gridCol w:w="408"/>
        <w:gridCol w:w="408"/>
        <w:gridCol w:w="413"/>
        <w:gridCol w:w="483"/>
        <w:gridCol w:w="483"/>
        <w:gridCol w:w="68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Mississippi</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001-13253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64-0676974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240" w:after="283"/>
        <w:jc w:val="center"/>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209 Troy Street, Tupelo, Mississippi 38804-4827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Registrant’s telephone number, including area code: (662) 680-1001 </w:t>
      </w:r>
    </w:p>
    <w:p>
      <w:pPr>
        <w:pStyle w:val="TextBody"/>
        <w:bidi w:val="0"/>
        <w:spacing w:lineRule="auto" w:line="345" w:before="0" w:after="14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98" w:type="dxa"/>
        <w:jc w:val="left"/>
        <w:tblInd w:w="0" w:type="dxa"/>
        <w:tblLayout w:type="fixed"/>
        <w:tblCellMar>
          <w:top w:w="28" w:type="dxa"/>
          <w:left w:w="28" w:type="dxa"/>
          <w:bottom w:w="28" w:type="dxa"/>
          <w:right w:w="28" w:type="dxa"/>
        </w:tblCellMar>
      </w:tblPr>
      <w:tblGrid>
        <w:gridCol w:w="1108"/>
        <w:gridCol w:w="977"/>
        <w:gridCol w:w="990"/>
        <w:gridCol w:w="484"/>
        <w:gridCol w:w="484"/>
        <w:gridCol w:w="486"/>
        <w:gridCol w:w="956"/>
        <w:gridCol w:w="956"/>
        <w:gridCol w:w="1357"/>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$5.00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RNST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345" w:before="160" w:after="100"/>
        <w:jc w:val="both"/>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345" w:before="100" w:after="10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Renasant Corporation (the “Company”) issued a press release announcing earnings for the second quarter of 2026. The press release is furnished as Exhibit 99.1 to this Form 8-K.</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jc w:val="both"/>
        <w:rPr/>
      </w:pPr>
      <w:r>
        <w:rPr>
          <w:rFonts w:ascii="Times New Roman;serif" w:hAnsi="Times New Roman;serif"/>
          <w:b w:val="false"/>
          <w:color w:val="000000"/>
          <w:sz w:val="20"/>
        </w:rPr>
        <w:t>On July 28, 2026, the Company also made available presentation materials (the “Presentation”) prepared for use with its earnings conference call on July 29, 2026.</w:t>
      </w:r>
      <w:r>
        <w:rPr>
          <w:color w:val="000000"/>
        </w:rPr>
        <w:t xml:space="preserve"> </w:t>
      </w:r>
      <w:r>
        <w:rPr>
          <w:rFonts w:ascii="Times New Roman;serif" w:hAnsi="Times New Roman;serif"/>
          <w:b w:val="false"/>
          <w:color w:val="000000"/>
          <w:sz w:val="20"/>
        </w:rPr>
        <w:t>The Presentation is attached hereto and incorporated herein as Exhibit 99.2.</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including Exhibit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or the Securities Exchange Act of 1934, as amended, except as shall be expressly set forth by specific reference in such filing.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the its internal control over financial reporting identified in the Company’s Annual Report on Form 10-K for the year ended December 31,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underlying Company’s forward-looking statements are reasonable, but any of the assumptions could prove to be inaccurate. Investors are urged to carefully consider the risks described in the Company’s filings with the SEC from time to time, including its most recent Annual Report on Form 10-K and subsequent Quarterly Reports on Form 10-Q, which are available at www.renasant.com and the SEC’s website at www.sec.gov.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    The following exhibits are furnished herewith:</w:t>
      </w:r>
    </w:p>
    <w:p>
      <w:pPr>
        <w:pStyle w:val="TextBody"/>
        <w:bidi w:val="0"/>
        <w:spacing w:lineRule="auto" w:line="288" w:before="0" w:after="240"/>
        <w:jc w:val="left"/>
        <w:rPr/>
      </w:pPr>
      <w:r>
        <w:rPr>
          <w:color w:val="000000"/>
        </w:rPr>
        <w:t>    </w:t>
      </w:r>
      <w:r>
        <w:rPr>
          <w:rFonts w:ascii="Times New Roman;serif" w:hAnsi="Times New Roman;serif"/>
          <w:b w:val="false"/>
          <w:color w:val="000000"/>
          <w:sz w:val="20"/>
          <w:u w:val="single"/>
        </w:rPr>
        <w:t>Exhibit No.</w:t>
      </w:r>
      <w:r>
        <w:rPr>
          <w:color w:val="000000"/>
        </w:rPr>
        <w:t>    </w:t>
      </w:r>
      <w:r>
        <w:rPr>
          <w:rFonts w:ascii="Times New Roman;serif" w:hAnsi="Times New Roman;serif"/>
          <w:b w:val="false"/>
          <w:color w:val="000000"/>
          <w:sz w:val="20"/>
          <w:u w:val="single"/>
        </w:rPr>
        <w:t>Description</w:t>
      </w:r>
    </w:p>
    <w:p>
      <w:pPr>
        <w:pStyle w:val="TextBody"/>
        <w:bidi w:val="0"/>
        <w:spacing w:lineRule="auto" w:line="288" w:before="0" w:after="240"/>
        <w:ind w:left="0" w:right="0" w:hanging="1440"/>
        <w:jc w:val="both"/>
        <w:rPr/>
      </w:pPr>
      <w:r>
        <w:rPr>
          <w:rFonts w:ascii="Times New Roman;serif" w:hAnsi="Times New Roman;serif"/>
          <w:b w:val="false"/>
          <w:color w:val="000000"/>
          <w:sz w:val="20"/>
        </w:rPr>
        <w:t>99.1    </w:t>
      </w:r>
      <w:hyperlink w:anchor="exhibit991_rnstx2q2026earn.htm">
        <w:r>
          <w:rPr>
            <w:rStyle w:val="InternetLink"/>
          </w:rPr>
          <w:t xml:space="preserve">Press release issued by Renasant Corporation announcing earnings for the </w:t>
        </w:r>
      </w:hyperlink>
      <w:hyperlink w:anchor="exhibit991_rnstx2q2026earn.htm">
        <w:r>
          <w:rPr>
            <w:rStyle w:val="InternetLink"/>
          </w:rPr>
          <w:t>se</w:t>
        </w:r>
      </w:hyperlink>
      <w:hyperlink w:anchor="exhibit991_rnstx2q2026earn.htm">
        <w:r>
          <w:rPr>
            <w:rStyle w:val="InternetLink"/>
          </w:rPr>
          <w:t>cond</w:t>
        </w:r>
      </w:hyperlink>
      <w:hyperlink w:anchor="exhibit991_rnstx2q2026earn.htm">
        <w:r>
          <w:rPr>
            <w:rStyle w:val="InternetLink"/>
          </w:rPr>
          <w:t xml:space="preserve"> quarter of 2026</w:t>
        </w:r>
      </w:hyperlink>
    </w:p>
    <w:p>
      <w:pPr>
        <w:pStyle w:val="TextBody"/>
        <w:bidi w:val="0"/>
        <w:spacing w:lineRule="auto" w:line="288" w:before="0" w:after="240"/>
        <w:ind w:left="0" w:right="0" w:hanging="1440"/>
        <w:jc w:val="both"/>
        <w:rPr/>
      </w:pPr>
      <w:r>
        <w:rPr>
          <w:rFonts w:ascii="Times New Roman;serif" w:hAnsi="Times New Roman;serif"/>
          <w:b w:val="false"/>
          <w:color w:val="000000"/>
          <w:sz w:val="20"/>
        </w:rPr>
        <w:t>99.2    </w:t>
      </w:r>
      <w:hyperlink w:anchor="rnstq22026earningsdeck.htm">
        <w:r>
          <w:rPr>
            <w:rStyle w:val="InternetLink"/>
          </w:rPr>
          <w:t xml:space="preserve">Presentation materials for Renasant Corporation </w:t>
        </w:r>
      </w:hyperlink>
      <w:hyperlink w:anchor="rnstq22026earningsdeck.htm">
        <w:r>
          <w:rPr>
            <w:rStyle w:val="InternetLink"/>
          </w:rPr>
          <w:t>Second</w:t>
        </w:r>
      </w:hyperlink>
      <w:hyperlink w:anchor="rnstq22026earningsdeck.htm">
        <w:r>
          <w:rPr>
            <w:rStyle w:val="InternetLink"/>
          </w:rPr>
          <w:t xml:space="preserve"> Quarter 2026 Earnings Call</w:t>
        </w:r>
      </w:hyperlink>
    </w:p>
    <w:p>
      <w:pPr>
        <w:pStyle w:val="TextBody"/>
        <w:bidi w:val="0"/>
        <w:spacing w:lineRule="auto" w:line="288" w:before="0" w:after="24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104    The cover page of Renasant Corporation's Form 8-K is formatted in Inline XBRL.</w:t>
      </w:r>
    </w:p>
    <w:p>
      <w:pPr>
        <w:pStyle w:val="TextBody"/>
        <w:bidi w:val="0"/>
        <w:spacing w:before="0" w:after="120"/>
        <w:ind w:left="0" w:right="0" w:hanging="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65"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420"/>
        <w:gridCol w:w="420"/>
        <w:gridCol w:w="420"/>
        <w:gridCol w:w="604"/>
        <w:gridCol w:w="604"/>
        <w:gridCol w:w="8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RENASANT CORPORATION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0" w:after="14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095875" cy="1600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095875" cy="1600200"/>
                    </a:xfrm>
                    <a:prstGeom prst="rect">
                      <a:avLst/>
                    </a:prstGeom>
                  </pic:spPr>
                </pic:pic>
              </a:graphicData>
            </a:graphic>
          </wp:inline>
        </w:drawing>
      </w:r>
    </w:p>
    <w:tbl>
      <w:tblPr>
        <w:tblW w:w="6162" w:type="dxa"/>
        <w:jc w:val="center"/>
        <w:tblInd w:w="0" w:type="dxa"/>
        <w:tblLayout w:type="fixed"/>
        <w:tblCellMar>
          <w:top w:w="28" w:type="dxa"/>
          <w:left w:w="28" w:type="dxa"/>
          <w:bottom w:w="28" w:type="dxa"/>
          <w:right w:w="28" w:type="dxa"/>
        </w:tblCellMar>
      </w:tblPr>
      <w:tblGrid>
        <w:gridCol w:w="358"/>
        <w:gridCol w:w="315"/>
        <w:gridCol w:w="317"/>
        <w:gridCol w:w="783"/>
        <w:gridCol w:w="783"/>
        <w:gridCol w:w="789"/>
        <w:gridCol w:w="109"/>
        <w:gridCol w:w="109"/>
        <w:gridCol w:w="109"/>
        <w:gridCol w:w="729"/>
        <w:gridCol w:w="729"/>
        <w:gridCol w:w="1032"/>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Contacts:</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Financials:</w:t>
            </w:r>
          </w:p>
        </w:tc>
      </w:tr>
      <w:tr>
        <w:trPr/>
        <w:tc>
          <w:tcPr>
            <w:tcW w:w="990"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S. Oxford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C. Mabry IV</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Marketing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(662) 680-1219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(662) 680-1281</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RENASANT CORPORATION ANNOUNCES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EARNINGS FOR THE SECOND QUARTER OF 2026</w:t>
      </w:r>
    </w:p>
    <w:p>
      <w:pPr>
        <w:pStyle w:val="TextBody"/>
        <w:bidi w:val="0"/>
        <w:spacing w:before="0" w:after="0"/>
        <w:jc w:val="right"/>
        <w:rPr/>
      </w:pPr>
      <w:r>
        <w:rPr/>
      </w:r>
    </w:p>
    <w:p>
      <w:pPr>
        <w:pStyle w:val="TextBody"/>
        <w:bidi w:val="0"/>
        <w:spacing w:lineRule="auto" w:line="268" w:before="0" w:after="0"/>
        <w:jc w:val="both"/>
        <w:rPr/>
      </w:pPr>
      <w:r>
        <w:rPr>
          <w:rFonts w:ascii="Times New Roman;serif" w:hAnsi="Times New Roman;serif"/>
          <w:b/>
          <w:color w:val="000000"/>
          <w:sz w:val="20"/>
        </w:rPr>
        <w:t>TUPELO, MISSISSIPPI (July 28, 2026)</w:t>
      </w:r>
      <w:r>
        <w:rPr>
          <w:color w:val="000000"/>
        </w:rPr>
        <w:t xml:space="preserve"> </w:t>
      </w:r>
      <w:r>
        <w:rPr>
          <w:rFonts w:ascii="Times New Roman;serif" w:hAnsi="Times New Roman;serif"/>
          <w:b w:val="false"/>
          <w:color w:val="000000"/>
          <w:sz w:val="20"/>
        </w:rPr>
        <w:t xml:space="preserve">- Renasant Corporation (NYSE: RNST) (the “Company”) today announced earnings results for the second quarter of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39"/>
        <w:gridCol w:w="1491"/>
        <w:gridCol w:w="1496"/>
        <w:gridCol w:w="360"/>
        <w:gridCol w:w="329"/>
        <w:gridCol w:w="305"/>
        <w:gridCol w:w="370"/>
        <w:gridCol w:w="335"/>
        <w:gridCol w:w="313"/>
        <w:gridCol w:w="360"/>
        <w:gridCol w:w="347"/>
        <w:gridCol w:w="305"/>
        <w:gridCol w:w="109"/>
        <w:gridCol w:w="109"/>
        <w:gridCol w:w="109"/>
        <w:gridCol w:w="360"/>
        <w:gridCol w:w="347"/>
        <w:gridCol w:w="307"/>
        <w:gridCol w:w="384"/>
        <w:gridCol w:w="322"/>
        <w:gridCol w:w="408"/>
      </w:tblGrid>
      <w:tr>
        <w:trPr/>
        <w:tc>
          <w:tcPr>
            <w:tcW w:w="17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(Dollars in thousands, except earnings per share)</w:t>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2026</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31, 2026</w:t>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2026</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2025</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and Earnings per share:</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$87,091</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$88,228</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$175,319</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$42,536</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conversion related expenses (net of tax)</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Day 1 acquisition provision (net of tax)</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(50,026)</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EPS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diluted EPS (non-GAAP)</w:t>
            </w:r>
            <w:r>
              <w:rPr>
                <w:rFonts w:ascii="Times New Roman;serif" w:hAnsi="Times New Roman;serif"/>
                <w:b w:val="false"/>
                <w:color w:val="000000"/>
                <w:sz w:val="12"/>
              </w:rPr>
              <w:t>(1)</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to diluted EPS from merger and conversion related expenses (net of tax)</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to diluted EPS from Day 1 acquisition provision (net of tax)</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Second quarter results were strong, and together with the first quarter, we have six months of financial performance that is well ahead of last year’s levels. We believe our team is operating at a high level and has positioned us to continue producing strong profitability as we pursue opportunities for added growth throughout our footprint,” remarked Kevin D. Chapman, President and Chief Executive Officer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Quarterly Highlights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Earnings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for the second quarter of 2026 was $87.1 million; both diluted EPS and adjusted diluted EPS (non-GAAP)</w:t>
      </w:r>
      <w:r>
        <w:rPr>
          <w:rFonts w:ascii="Times New Roman;serif" w:hAnsi="Times New Roman;serif"/>
          <w:b w:val="false"/>
          <w:color w:val="000000"/>
          <w:sz w:val="13"/>
        </w:rPr>
        <w:t xml:space="preserve">(1) </w:t>
      </w:r>
      <w:r>
        <w:rPr>
          <w:rFonts w:ascii="Times New Roman;serif" w:hAnsi="Times New Roman;serif"/>
          <w:b w:val="false"/>
          <w:color w:val="000000"/>
          <w:sz w:val="20"/>
        </w:rPr>
        <w:t>were $0.94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interest income, on a fully tax equivalent basis, for the second quarter of 2026 was $227.7 million, down $0.8 million linked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interest margin, on fully tax equivalent basis, for the second quarter of 2026 was 3.83%, down 4 basis points linked quarter. Adjusted net interest margin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flat at 3.61%</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 xml:space="preserve">Cost of total deposits was 1.96% for the second quarter of 2026, up 2 basis points linked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Noninterest income increased $0.9 million linked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Mortgage banking income decreased $0.3 million linked quarter. The mortgage division generated $611.6 million in interest rate lock volume in the second quarter of 2026, up $69.3 million linked quarter. Gain on sale margin was 1.57% for the second quarter of 2026, down 28 basis points linked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Noninterest expense increased $6.2 million linked quarter, driven primarily by deferred compensation accruals tied to market valuations, higher health insurance claims and annual merit increases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Balance Sheet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Loans increased $220.9 million linked quarter, representing a 4.7% annualized net loan increase. Included in this increase is a $58.3 million loan portfolio that Renasant Bank’s subsidiary, Republic Business Credit, acquired during the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Securities increased $9.3 million linked quarter. The Company purchased $162.4 million in securities during the second quarter, which was offset by a negative fair market value adjustment in the Company’s available-for-sale portfolio of $9.2 million and cash flows related to principal payments, calls and maturities of $146.5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Deposits at June 30, 2026 decreased $398.4 million linked quarter. Seasonal outflows in public fund deposits accounted for $367.7 million of the decrease. Noninterest bearing deposits decreased $145.4 million linked quarter and represented 23.2% of total deposits at June 30, 2026 as compared to 23.5% at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and Stock Repurchase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Book value per share and tangible book value per share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increased 1.7% and 1.4%, respectively, linked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 April 28, 2026, the Company’s quarterly cash dividend was increased to $0.24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has a $250.0 million stock repurchase program under which the Company is authorized to repurchase outstanding shares of its common stock either in open market purchases or privately negotiated transactions. The program will remain in effect until the earlier of October 2026 or the repurchase of the entire amount authorized under the plan. During the second quarter of 2026, the Company repurchased $60.0 million of common stock at a weighted average price of $39.54. As of June 30, 2026, $101.8 million in repurchase authorization remained available under the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May 7, 2026, the Company completed a subordinated debt offering, issuing $300.0 million aggregate principal amount of 6.25% Fixed-to-Floating Rate Subordinated Notes due 2036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recorded a provision for credit losses on loans and unfunded commitments of $1.2 million and $2.6 million, respectively, for the second quarter of 2026, representing a decrease of $3.1 million and $1.2 million, respectively, linked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ratio of the allowance for credit losses on loans to total loans was 1.54% at June 30, 2026, down 2 basis points linked quarter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coverage ratio, or the allowance for credit losses on loans to nonperforming loans, was 158.73% at June 30, 2026, compared to 147.71% at March 31,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loan charge-offs for the second quarter of 2026 were $2.8 million, or 0.06% annualized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Nonperforming loans to total loans decreased to 0.97% at June 30, 2026 compared to 1.06% at March 31, 2026 , and criticized loans (which include classified and Special Mention loans) to total loans decreased to 2.66% at June 30, 2026, compared to 2.77% at March 31,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Income Statement</w:t>
      </w:r>
    </w:p>
    <w:tbl>
      <w:tblPr>
        <w:tblW w:w="10205" w:type="dxa"/>
        <w:jc w:val="left"/>
        <w:tblInd w:w="0" w:type="dxa"/>
        <w:tblLayout w:type="fixed"/>
        <w:tblCellMar>
          <w:top w:w="28" w:type="dxa"/>
          <w:left w:w="28" w:type="dxa"/>
          <w:bottom w:w="28" w:type="dxa"/>
          <w:right w:w="28" w:type="dxa"/>
        </w:tblCellMar>
      </w:tblPr>
      <w:tblGrid>
        <w:gridCol w:w="952"/>
        <w:gridCol w:w="686"/>
        <w:gridCol w:w="692"/>
        <w:gridCol w:w="202"/>
        <w:gridCol w:w="759"/>
        <w:gridCol w:w="109"/>
        <w:gridCol w:w="206"/>
        <w:gridCol w:w="762"/>
        <w:gridCol w:w="110"/>
        <w:gridCol w:w="202"/>
        <w:gridCol w:w="759"/>
        <w:gridCol w:w="109"/>
        <w:gridCol w:w="202"/>
        <w:gridCol w:w="759"/>
        <w:gridCol w:w="109"/>
        <w:gridCol w:w="202"/>
        <w:gridCol w:w="759"/>
        <w:gridCol w:w="109"/>
        <w:gridCol w:w="109"/>
        <w:gridCol w:w="109"/>
        <w:gridCol w:w="109"/>
        <w:gridCol w:w="202"/>
        <w:gridCol w:w="759"/>
        <w:gridCol w:w="109"/>
        <w:gridCol w:w="202"/>
        <w:gridCol w:w="759"/>
        <w:gridCol w:w="159"/>
      </w:tblGrid>
      <w:tr>
        <w:trPr/>
        <w:tc>
          <w:tcPr>
            <w:tcW w:w="95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r>
          </w:p>
        </w:tc>
        <w:tc>
          <w:tcPr>
            <w:tcW w:w="5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income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 income</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338,120 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564,228 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 expense</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211,172 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Provision for credit losses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loan losses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unfunded commitments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provision for credit losses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 after provision for credit losses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215,479 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266,984 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110,423 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income (non-GAAP)</w:t>
            </w:r>
            <w:r>
              <w:rPr>
                <w:rFonts w:ascii="Times New Roman;serif" w:hAnsi="Times New Roman;serif"/>
                <w:b w:val="false"/>
                <w:color w:val="000000"/>
                <w:sz w:val="10"/>
              </w:rPr>
              <w:t>(1)</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Adjusted pre-provision net revenue (“PPNR”) (non-GAAP)</w:t>
            </w:r>
            <w:r>
              <w:rPr>
                <w:rFonts w:ascii="Times New Roman;serif" w:hAnsi="Times New Roman;serif"/>
                <w:b w:val="false"/>
                <w:color w:val="000000"/>
                <w:sz w:val="10"/>
              </w:rPr>
              <w:t>(1)</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diluted earnings per share (non-GAAP)</w:t>
            </w:r>
            <w:r>
              <w:rPr>
                <w:rFonts w:ascii="Times New Roman;serif" w:hAnsi="Times New Roman;serif"/>
                <w:b w:val="false"/>
                <w:color w:val="000000"/>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basic shares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91,650,415 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93,693,615 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94,469,544 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94,623,551 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94,580,927 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79,209,073 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diluted shares outstanding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92,220,282 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94,228,343 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95,284,603 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95,136,160 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93,219,350 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79,671,775 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per common share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Performance Ratios</w:t>
      </w:r>
    </w:p>
    <w:tbl>
      <w:tblPr>
        <w:tblW w:w="10205" w:type="dxa"/>
        <w:jc w:val="left"/>
        <w:tblInd w:w="0" w:type="dxa"/>
        <w:tblLayout w:type="fixed"/>
        <w:tblCellMar>
          <w:top w:w="28" w:type="dxa"/>
          <w:left w:w="28" w:type="dxa"/>
          <w:bottom w:w="28" w:type="dxa"/>
          <w:right w:w="28" w:type="dxa"/>
        </w:tblCellMar>
      </w:tblPr>
      <w:tblGrid>
        <w:gridCol w:w="1113"/>
        <w:gridCol w:w="841"/>
        <w:gridCol w:w="849"/>
        <w:gridCol w:w="297"/>
        <w:gridCol w:w="259"/>
        <w:gridCol w:w="417"/>
        <w:gridCol w:w="310"/>
        <w:gridCol w:w="253"/>
        <w:gridCol w:w="431"/>
        <w:gridCol w:w="297"/>
        <w:gridCol w:w="259"/>
        <w:gridCol w:w="417"/>
        <w:gridCol w:w="293"/>
        <w:gridCol w:w="263"/>
        <w:gridCol w:w="413"/>
        <w:gridCol w:w="393"/>
        <w:gridCol w:w="343"/>
        <w:gridCol w:w="417"/>
        <w:gridCol w:w="109"/>
        <w:gridCol w:w="109"/>
        <w:gridCol w:w="109"/>
        <w:gridCol w:w="297"/>
        <w:gridCol w:w="259"/>
        <w:gridCol w:w="418"/>
        <w:gridCol w:w="281"/>
        <w:gridCol w:w="275"/>
        <w:gridCol w:w="483"/>
      </w:tblGrid>
      <w:tr>
        <w:trPr/>
        <w:tc>
          <w:tcPr>
            <w:tcW w:w="111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assets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0.90 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return on average assets (non-GAAP)</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assets (non-GAAP)</w:t>
            </w:r>
            <w:r>
              <w:rPr>
                <w:rFonts w:ascii="Times New Roman;serif" w:hAnsi="Times New Roman;serif"/>
                <w:b w:val="false"/>
                <w:color w:val="000000"/>
                <w:sz w:val="10"/>
              </w:rPr>
              <w:t>(1)</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return on average tangible assets (non-GAAP)</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equity</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return on average equity (non-GAAP)</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equity (non-GAAP)</w:t>
            </w:r>
            <w:r>
              <w:rPr>
                <w:rFonts w:ascii="Times New Roman;serif" w:hAnsi="Times New Roman;serif"/>
                <w:b w:val="false"/>
                <w:color w:val="000000"/>
                <w:sz w:val="10"/>
              </w:rPr>
              <w:t>(1)</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return on average tangible equity (non-GAAP)</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(fully taxable equivalent)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efficiency ratio (non-GAAP)</w:t>
            </w:r>
            <w:r>
              <w:rPr>
                <w:rFonts w:ascii="Times New Roman;serif" w:hAnsi="Times New Roman;serif"/>
                <w:b w:val="false"/>
                <w:color w:val="000000"/>
                <w:sz w:val="10"/>
              </w:rPr>
              <w:t>(1)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payout ratio</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2200.00 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Capital and Balance Sheet Ratios</w:t>
      </w:r>
    </w:p>
    <w:tbl>
      <w:tblPr>
        <w:tblW w:w="9595" w:type="dxa"/>
        <w:jc w:val="left"/>
        <w:tblInd w:w="0" w:type="dxa"/>
        <w:tblLayout w:type="fixed"/>
        <w:tblCellMar>
          <w:top w:w="28" w:type="dxa"/>
          <w:left w:w="28" w:type="dxa"/>
          <w:bottom w:w="28" w:type="dxa"/>
          <w:right w:w="28" w:type="dxa"/>
        </w:tblCellMar>
      </w:tblPr>
      <w:tblGrid>
        <w:gridCol w:w="1229"/>
        <w:gridCol w:w="1085"/>
        <w:gridCol w:w="1090"/>
        <w:gridCol w:w="250"/>
        <w:gridCol w:w="711"/>
        <w:gridCol w:w="266"/>
        <w:gridCol w:w="250"/>
        <w:gridCol w:w="711"/>
        <w:gridCol w:w="278"/>
        <w:gridCol w:w="250"/>
        <w:gridCol w:w="711"/>
        <w:gridCol w:w="266"/>
        <w:gridCol w:w="250"/>
        <w:gridCol w:w="711"/>
        <w:gridCol w:w="263"/>
        <w:gridCol w:w="250"/>
        <w:gridCol w:w="711"/>
        <w:gridCol w:w="313"/>
      </w:tblGrid>
      <w:tr>
        <w:trPr/>
        <w:tc>
          <w:tcPr>
            <w:tcW w:w="122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91,403,230 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92,881,329 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94,636,207 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95,020,881 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95,019,311 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value per share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book value per share (non-GAAP)</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 to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common equity ratio (non-GAAP)</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Leverage ratio</w:t>
            </w: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Common equity tier 1 capital ratio</w:t>
            </w: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Tier 1 risk-based capital ratio</w:t>
            </w: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risk-based capital ratio</w:t>
            </w: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Preliminary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Noninterest Income and Noninterest Expense</w:t>
      </w:r>
    </w:p>
    <w:tbl>
      <w:tblPr>
        <w:tblW w:w="10205" w:type="dxa"/>
        <w:jc w:val="left"/>
        <w:tblInd w:w="0" w:type="dxa"/>
        <w:tblLayout w:type="fixed"/>
        <w:tblCellMar>
          <w:top w:w="28" w:type="dxa"/>
          <w:left w:w="28" w:type="dxa"/>
          <w:bottom w:w="28" w:type="dxa"/>
          <w:right w:w="28" w:type="dxa"/>
        </w:tblCellMar>
      </w:tblPr>
      <w:tblGrid>
        <w:gridCol w:w="979"/>
        <w:gridCol w:w="746"/>
        <w:gridCol w:w="749"/>
        <w:gridCol w:w="196"/>
        <w:gridCol w:w="741"/>
        <w:gridCol w:w="109"/>
        <w:gridCol w:w="203"/>
        <w:gridCol w:w="763"/>
        <w:gridCol w:w="112"/>
        <w:gridCol w:w="196"/>
        <w:gridCol w:w="741"/>
        <w:gridCol w:w="109"/>
        <w:gridCol w:w="196"/>
        <w:gridCol w:w="736"/>
        <w:gridCol w:w="109"/>
        <w:gridCol w:w="196"/>
        <w:gridCol w:w="741"/>
        <w:gridCol w:w="109"/>
        <w:gridCol w:w="109"/>
        <w:gridCol w:w="109"/>
        <w:gridCol w:w="109"/>
        <w:gridCol w:w="196"/>
        <w:gridCol w:w="741"/>
        <w:gridCol w:w="109"/>
        <w:gridCol w:w="196"/>
        <w:gridCol w:w="740"/>
        <w:gridCol w:w="165"/>
      </w:tblGrid>
      <w:tr>
        <w:trPr/>
        <w:tc>
          <w:tcPr>
            <w:tcW w:w="97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and commissions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 income</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BOLI income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noninterest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84,729 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expense</w:t>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 and equipment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public relations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amortization</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 and conversion related expenses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noninterest expense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155,328 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297,080 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Mortgage Banking Income</w:t>
      </w:r>
    </w:p>
    <w:tbl>
      <w:tblPr>
        <w:tblW w:w="10192" w:type="dxa"/>
        <w:jc w:val="left"/>
        <w:tblInd w:w="0" w:type="dxa"/>
        <w:tblLayout w:type="fixed"/>
        <w:tblCellMar>
          <w:top w:w="28" w:type="dxa"/>
          <w:left w:w="28" w:type="dxa"/>
          <w:bottom w:w="28" w:type="dxa"/>
          <w:right w:w="28" w:type="dxa"/>
        </w:tblCellMar>
      </w:tblPr>
      <w:tblGrid>
        <w:gridCol w:w="886"/>
        <w:gridCol w:w="778"/>
        <w:gridCol w:w="780"/>
        <w:gridCol w:w="239"/>
        <w:gridCol w:w="678"/>
        <w:gridCol w:w="133"/>
        <w:gridCol w:w="249"/>
        <w:gridCol w:w="707"/>
        <w:gridCol w:w="138"/>
        <w:gridCol w:w="239"/>
        <w:gridCol w:w="678"/>
        <w:gridCol w:w="133"/>
        <w:gridCol w:w="235"/>
        <w:gridCol w:w="669"/>
        <w:gridCol w:w="131"/>
        <w:gridCol w:w="216"/>
        <w:gridCol w:w="713"/>
        <w:gridCol w:w="120"/>
        <w:gridCol w:w="109"/>
        <w:gridCol w:w="109"/>
        <w:gridCol w:w="109"/>
        <w:gridCol w:w="216"/>
        <w:gridCol w:w="713"/>
        <w:gridCol w:w="120"/>
        <w:gridCol w:w="215"/>
        <w:gridCol w:w="710"/>
        <w:gridCol w:w="169"/>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5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Gain on sales of loans, net</w:t>
            </w:r>
            <w:r>
              <w:rPr>
                <w:rFonts w:ascii="Times New Roman;serif" w:hAnsi="Times New Roman;serif"/>
                <w:b w:val="false"/>
                <w:color w:val="000000"/>
                <w:sz w:val="10"/>
              </w:rPr>
              <w:t>(1)</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servicing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mortgage banking income</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18,613 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19,410 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Gain on sales of loans, net includes pipeline fair value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Balance Sheet</w:t>
      </w:r>
    </w:p>
    <w:tbl>
      <w:tblPr>
        <w:tblW w:w="9614" w:type="dxa"/>
        <w:jc w:val="left"/>
        <w:tblInd w:w="0" w:type="dxa"/>
        <w:tblLayout w:type="fixed"/>
        <w:tblCellMar>
          <w:top w:w="28" w:type="dxa"/>
          <w:left w:w="28" w:type="dxa"/>
          <w:bottom w:w="28" w:type="dxa"/>
          <w:right w:w="28" w:type="dxa"/>
        </w:tblCellMar>
      </w:tblPr>
      <w:tblGrid>
        <w:gridCol w:w="1170"/>
        <w:gridCol w:w="1033"/>
        <w:gridCol w:w="1036"/>
        <w:gridCol w:w="196"/>
        <w:gridCol w:w="961"/>
        <w:gridCol w:w="109"/>
        <w:gridCol w:w="196"/>
        <w:gridCol w:w="961"/>
        <w:gridCol w:w="109"/>
        <w:gridCol w:w="196"/>
        <w:gridCol w:w="961"/>
        <w:gridCol w:w="109"/>
        <w:gridCol w:w="196"/>
        <w:gridCol w:w="961"/>
        <w:gridCol w:w="109"/>
        <w:gridCol w:w="196"/>
        <w:gridCol w:w="961"/>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6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2026</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31, 2026</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 31, 2025</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 30, 2025</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held to maturity, at amortized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18,900,164 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18,679,386 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18,727,930 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18,272,677 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servicing rights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27,004,999 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27,107,274 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26,751,426 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26,726,165 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26,624,975 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21,701,052 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22,099,484 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21,473,070 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21,424,555 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21,582,637 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23,133,621 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23,240,356 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22,866,521 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22,900,387 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22,846,121 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27,004,999 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27,107,274 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26,751,426 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26,726,165 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26,624,975 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Net Interest Income and Net Interest Margin</w:t>
      </w:r>
    </w:p>
    <w:p>
      <w:pPr>
        <w:pStyle w:val="TextBody"/>
        <w:bidi w:val="0"/>
        <w:spacing w:before="0" w:after="0"/>
        <w:jc w:val="both"/>
        <w:rPr/>
      </w:pPr>
      <w:r>
        <w:rPr/>
      </w:r>
    </w:p>
    <w:tbl>
      <w:tblPr>
        <w:tblW w:w="10856" w:type="dxa"/>
        <w:jc w:val="left"/>
        <w:tblInd w:w="0" w:type="dxa"/>
        <w:tblLayout w:type="fixed"/>
        <w:tblCellMar>
          <w:top w:w="28" w:type="dxa"/>
          <w:left w:w="28" w:type="dxa"/>
          <w:bottom w:w="28" w:type="dxa"/>
          <w:right w:w="28" w:type="dxa"/>
        </w:tblCellMar>
      </w:tblPr>
      <w:tblGrid>
        <w:gridCol w:w="883"/>
        <w:gridCol w:w="359"/>
        <w:gridCol w:w="259"/>
        <w:gridCol w:w="196"/>
        <w:gridCol w:w="961"/>
        <w:gridCol w:w="109"/>
        <w:gridCol w:w="196"/>
        <w:gridCol w:w="736"/>
        <w:gridCol w:w="109"/>
        <w:gridCol w:w="233"/>
        <w:gridCol w:w="233"/>
        <w:gridCol w:w="285"/>
        <w:gridCol w:w="196"/>
        <w:gridCol w:w="961"/>
        <w:gridCol w:w="109"/>
        <w:gridCol w:w="196"/>
        <w:gridCol w:w="736"/>
        <w:gridCol w:w="109"/>
        <w:gridCol w:w="233"/>
        <w:gridCol w:w="233"/>
        <w:gridCol w:w="285"/>
        <w:gridCol w:w="196"/>
        <w:gridCol w:w="961"/>
        <w:gridCol w:w="109"/>
        <w:gridCol w:w="196"/>
        <w:gridCol w:w="736"/>
        <w:gridCol w:w="109"/>
        <w:gridCol w:w="233"/>
        <w:gridCol w:w="233"/>
        <w:gridCol w:w="466"/>
      </w:tblGrid>
      <w:tr>
        <w:trPr/>
        <w:tc>
          <w:tcPr>
            <w:tcW w:w="8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35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0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(1)</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  </w:t>
            </w:r>
          </w:p>
          <w:p>
            <w:pPr>
              <w:pStyle w:val="TableContents"/>
              <w:bidi w:val="0"/>
              <w:spacing w:lineRule="auto" w:line="240" w:before="0" w:after="0"/>
              <w:jc w:val="center"/>
              <w:rPr/>
            </w:pPr>
            <w:r>
              <w:rPr>
                <w:color w:val="000000"/>
              </w:rPr>
              <w:t> </w:t>
            </w:r>
            <w:r>
              <w:rPr>
                <w:rFonts w:ascii="Times New Roman;serif" w:hAnsi="Times New Roman;serif"/>
                <w:b/>
                <w:color w:val="000000"/>
                <w:sz w:val="16"/>
              </w:rPr>
              <w:t>Rate</w:t>
            </w:r>
            <w:r>
              <w:rPr>
                <w:rFonts w:ascii="Times New Roman;serif" w:hAnsi="Times New Roman;serif"/>
                <w:b/>
                <w:color w:val="000000"/>
                <w:sz w:val="10"/>
              </w:rPr>
              <w:t>(1)</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(1)</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  </w:t>
            </w:r>
          </w:p>
          <w:p>
            <w:pPr>
              <w:pStyle w:val="TableContents"/>
              <w:bidi w:val="0"/>
              <w:spacing w:lineRule="auto" w:line="240" w:before="0" w:after="0"/>
              <w:jc w:val="center"/>
              <w:rPr/>
            </w:pPr>
            <w:r>
              <w:rPr>
                <w:color w:val="000000"/>
              </w:rPr>
              <w:t> </w:t>
            </w:r>
            <w:r>
              <w:rPr>
                <w:rFonts w:ascii="Times New Roman;serif" w:hAnsi="Times New Roman;serif"/>
                <w:b/>
                <w:color w:val="000000"/>
                <w:sz w:val="16"/>
              </w:rPr>
              <w:t>Rate</w:t>
            </w:r>
            <w:r>
              <w:rPr>
                <w:rFonts w:ascii="Times New Roman;serif" w:hAnsi="Times New Roman;serif"/>
                <w:b/>
                <w:color w:val="000000"/>
                <w:sz w:val="10"/>
              </w:rPr>
              <w:t>(1)</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(1)</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  </w:t>
            </w:r>
          </w:p>
          <w:p>
            <w:pPr>
              <w:pStyle w:val="TableContents"/>
              <w:bidi w:val="0"/>
              <w:spacing w:lineRule="auto" w:line="240" w:before="0" w:after="0"/>
              <w:jc w:val="center"/>
              <w:rPr/>
            </w:pPr>
            <w:r>
              <w:rPr>
                <w:color w:val="000000"/>
              </w:rPr>
              <w:t> </w:t>
            </w:r>
            <w:r>
              <w:rPr>
                <w:rFonts w:ascii="Times New Roman;serif" w:hAnsi="Times New Roman;serif"/>
                <w:b/>
                <w:color w:val="000000"/>
                <w:sz w:val="16"/>
              </w:rPr>
              <w:t>Rate</w:t>
            </w:r>
            <w:r>
              <w:rPr>
                <w:rFonts w:ascii="Times New Roman;serif" w:hAnsi="Times New Roman;serif"/>
                <w:b/>
                <w:color w:val="000000"/>
                <w:sz w:val="10"/>
              </w:rPr>
              <w:t>(1)</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Tax-exempt 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3,569,297 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balances with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23,801,318 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23,883,997 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23,206,955 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26,800,293 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26,182,865 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Interest-bearing demand</w:t>
            </w:r>
            <w:r>
              <w:rPr>
                <w:rFonts w:ascii="Times New Roman;serif" w:hAnsi="Times New Roman;serif"/>
                <w:b w:val="false"/>
                <w:color w:val="000000"/>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16,715,146 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16,614,606 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15,917,932 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17,606,227 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17,587,720 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16,953,977 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5,038,879 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26,800,293 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26,182,865 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net interest margin (FTE)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funding</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total deposits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Interest income and weighted average yields on tax-exempt loans and securities have been computed on a fully tax equivalent basis assuming a federal tax rate of 21%.</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Interest-bearing demand deposits include interest-bearing transactional accounts and money market deposits.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2"/>
        </w:rPr>
      </w:pPr>
      <w:r>
        <w:rPr>
          <w:rFonts w:ascii="Times New Roman;serif" w:hAnsi="Times New Roman;serif"/>
          <w:b/>
          <w:i/>
          <w:color w:val="000000"/>
          <w:sz w:val="22"/>
        </w:rPr>
        <w:t>Net Interest Income and Net Interest Margin, continued</w:t>
      </w:r>
    </w:p>
    <w:tbl>
      <w:tblPr>
        <w:tblW w:w="9321" w:type="dxa"/>
        <w:jc w:val="left"/>
        <w:tblInd w:w="0" w:type="dxa"/>
        <w:tblLayout w:type="fixed"/>
        <w:tblCellMar>
          <w:top w:w="28" w:type="dxa"/>
          <w:left w:w="28" w:type="dxa"/>
          <w:bottom w:w="28" w:type="dxa"/>
          <w:right w:w="28" w:type="dxa"/>
        </w:tblCellMar>
      </w:tblPr>
      <w:tblGrid>
        <w:gridCol w:w="1197"/>
        <w:gridCol w:w="1049"/>
        <w:gridCol w:w="1053"/>
        <w:gridCol w:w="196"/>
        <w:gridCol w:w="961"/>
        <w:gridCol w:w="109"/>
        <w:gridCol w:w="196"/>
        <w:gridCol w:w="736"/>
        <w:gridCol w:w="109"/>
        <w:gridCol w:w="209"/>
        <w:gridCol w:w="209"/>
        <w:gridCol w:w="211"/>
        <w:gridCol w:w="196"/>
        <w:gridCol w:w="961"/>
        <w:gridCol w:w="109"/>
        <w:gridCol w:w="196"/>
        <w:gridCol w:w="736"/>
        <w:gridCol w:w="109"/>
        <w:gridCol w:w="227"/>
        <w:gridCol w:w="227"/>
        <w:gridCol w:w="325"/>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6022"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08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(1)</w:t>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  </w:t>
            </w:r>
          </w:p>
          <w:p>
            <w:pPr>
              <w:pStyle w:val="TableContents"/>
              <w:bidi w:val="0"/>
              <w:spacing w:lineRule="auto" w:line="240" w:before="0" w:after="0"/>
              <w:jc w:val="center"/>
              <w:rPr/>
            </w:pPr>
            <w:r>
              <w:rPr>
                <w:color w:val="000000"/>
              </w:rPr>
              <w:t> </w:t>
            </w:r>
            <w:r>
              <w:rPr>
                <w:rFonts w:ascii="Times New Roman;serif" w:hAnsi="Times New Roman;serif"/>
                <w:b/>
                <w:color w:val="000000"/>
                <w:sz w:val="16"/>
              </w:rPr>
              <w:t>Rate</w:t>
            </w:r>
            <w:r>
              <w:rPr>
                <w:rFonts w:ascii="Times New Roman;serif" w:hAnsi="Times New Roman;serif"/>
                <w:b/>
                <w:color w:val="000000"/>
                <w:sz w:val="10"/>
              </w:rPr>
              <w:t>(1)</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(1)</w:t>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  </w:t>
            </w:r>
          </w:p>
          <w:p>
            <w:pPr>
              <w:pStyle w:val="TableContents"/>
              <w:bidi w:val="0"/>
              <w:spacing w:lineRule="auto" w:line="240" w:before="0" w:after="0"/>
              <w:jc w:val="center"/>
              <w:rPr/>
            </w:pPr>
            <w:r>
              <w:rPr>
                <w:color w:val="000000"/>
              </w:rPr>
              <w:t> </w:t>
            </w:r>
            <w:r>
              <w:rPr>
                <w:rFonts w:ascii="Times New Roman;serif" w:hAnsi="Times New Roman;serif"/>
                <w:b/>
                <w:color w:val="000000"/>
                <w:sz w:val="16"/>
              </w:rPr>
              <w:t>Rate</w:t>
            </w:r>
            <w:r>
              <w:rPr>
                <w:rFonts w:ascii="Times New Roman;serif" w:hAnsi="Times New Roman;serif"/>
                <w:b/>
                <w:color w:val="000000"/>
                <w:sz w:val="10"/>
              </w:rPr>
              <w:t>(1)</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6.25%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2.87%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Tax-exempt 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3.63%</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2.91%</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balances with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3.60%</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23,842,429 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5.81%</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26,827,675 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Interest-bearing demand</w:t>
            </w:r>
            <w:r>
              <w:rPr>
                <w:rFonts w:ascii="Times New Roman;serif" w:hAnsi="Times New Roman;serif"/>
                <w:b w:val="false"/>
                <w:color w:val="000000"/>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0.28%</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0.33%</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3.99%</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16,665,153 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2.54%</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13,533,854 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17,597,024 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2.66%</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14,331,568 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26,827,675 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net interest margin (FTE)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3.85%</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funding</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total deposits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w:t>
            </w:r>
          </w:p>
        </w:tc>
      </w:tr>
    </w:tbl>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Interest income and weighted average yields on tax-exempt loans and securities have been computed on a fully tax equivalent basis assuming a federal tax rate of 21%.</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Interest-bearing demand deposits include interest-bearing transactional accounts and money market deposits.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Loan Portfolio</w:t>
      </w:r>
    </w:p>
    <w:tbl>
      <w:tblPr>
        <w:tblW w:w="9915" w:type="dxa"/>
        <w:jc w:val="left"/>
        <w:tblInd w:w="0" w:type="dxa"/>
        <w:tblLayout w:type="fixed"/>
        <w:tblCellMar>
          <w:top w:w="28" w:type="dxa"/>
          <w:left w:w="28" w:type="dxa"/>
          <w:bottom w:w="28" w:type="dxa"/>
          <w:right w:w="28" w:type="dxa"/>
        </w:tblCellMar>
      </w:tblPr>
      <w:tblGrid>
        <w:gridCol w:w="1279"/>
        <w:gridCol w:w="1128"/>
        <w:gridCol w:w="1133"/>
        <w:gridCol w:w="196"/>
        <w:gridCol w:w="961"/>
        <w:gridCol w:w="109"/>
        <w:gridCol w:w="196"/>
        <w:gridCol w:w="961"/>
        <w:gridCol w:w="109"/>
        <w:gridCol w:w="196"/>
        <w:gridCol w:w="961"/>
        <w:gridCol w:w="109"/>
        <w:gridCol w:w="196"/>
        <w:gridCol w:w="961"/>
        <w:gridCol w:w="109"/>
        <w:gridCol w:w="196"/>
        <w:gridCol w:w="961"/>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6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2026</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31, 2026</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 31, 2025</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 30, 2025</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 Portfolio:</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Construction and Land Development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5,953,135 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19,196,172 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18,975,248 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19,025,521 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18,563,447 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Credit Quality and Allowance for Credit Losses on Loans </w:t>
      </w:r>
    </w:p>
    <w:tbl>
      <w:tblPr>
        <w:tblW w:w="10205" w:type="dxa"/>
        <w:jc w:val="left"/>
        <w:tblInd w:w="0" w:type="dxa"/>
        <w:tblLayout w:type="fixed"/>
        <w:tblCellMar>
          <w:top w:w="28" w:type="dxa"/>
          <w:left w:w="28" w:type="dxa"/>
          <w:bottom w:w="28" w:type="dxa"/>
          <w:right w:w="28" w:type="dxa"/>
        </w:tblCellMar>
      </w:tblPr>
      <w:tblGrid>
        <w:gridCol w:w="1530"/>
        <w:gridCol w:w="1344"/>
        <w:gridCol w:w="1344"/>
        <w:gridCol w:w="196"/>
        <w:gridCol w:w="736"/>
        <w:gridCol w:w="256"/>
        <w:gridCol w:w="196"/>
        <w:gridCol w:w="736"/>
        <w:gridCol w:w="256"/>
        <w:gridCol w:w="196"/>
        <w:gridCol w:w="736"/>
        <w:gridCol w:w="256"/>
        <w:gridCol w:w="196"/>
        <w:gridCol w:w="736"/>
        <w:gridCol w:w="256"/>
        <w:gridCol w:w="196"/>
        <w:gridCol w:w="736"/>
        <w:gridCol w:w="303"/>
      </w:tblGrid>
      <w:tr>
        <w:trPr/>
        <w:tc>
          <w:tcPr>
            <w:tcW w:w="153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5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2026</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31, 2026</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 31, 2025</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 30, 2025</w:t>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30, 2025</w:t>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Nonperforming Assets: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Nonaccruing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90 days or more past due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loans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186,483 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191,209 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Criticized Loans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Classified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159,931 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Criticized loans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525,413 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612,513 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493,557 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290,770 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Annualized net loan charge-offs / average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 / total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 / total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 / total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 / nonperforming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Criticized loans / total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live audio webcast of a conference call with analysts will be available beginning at 10:00 AM Eastern Time (9:00 AM Central Time) on Wednesday, July 29,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webcast is accessible through Renasant’s investor relations website at www.renasant.com or https://event.choruscall.com/mediaframe/webcast.html?webcastid=ATOn3Pcb. To access the conference via telephone, dial 1-877-513-1143 in the United States and request the Renasant Corporation 2026 Second Quarter Earnings Webcast and Conference Call. International participants should dial 1-412-902-4145 to access the conference call.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webcast will be archived on www.renasant.com after the call and will remain accessible for one year. A replay can be accessed via telephone by dialing 1-855-669-9658 in the United States and entering conference number 8054019 or by dialing 1-412-317-0088 internationally and entering the same conference number. Telephone replay access is available until August 12,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RENASANT CORPORATION: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Renasant Corporation is the parent of Renasant Bank, a 122-year-old financial services institution. Renasant has assets of approximately $27.0 billion and operates 279 banking, lending, mortgage and wealth management offices throughout the Southeast and also offers factoring and asset-based lending on a nationwide basis.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its internal control over financial reporting identified in the Company’s Annual Report on Form 10-K for the year ended December 31,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(xiii) 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underlying the Company’s forward-looking statements are reasonable, but any of the assumptions could prove to be inaccurate. Investors are urged to carefully consider the risks described in the Company’s filings with the SEC from time to time, including its most recent Annual Report on Form 10-K and subsequent Quarterly Reports on Form 10-Q, which are available at www.renasant.com and the SEC’s website at www.sec.gov.</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results presented in accordance with generally accepted accounting principles in the United States of America (“GAAP”), this press release and the presentation slides furnished to the SEC on the same Form 8-K as this release contain non-GAAP financial measures, namely, (i) adjusted loan yield, (ii) adjusted net interest income and margin, (iii) pre-provision net revenue (including on an as-adjusted basis), (iv) adjusted net revenue and net income, (v) adjusted diluted earnings per share, (vi) tangible book value per share, (vii) the tangible common equity ratio, (viii) the adjusted return on average assets and on average equity and certain other performance ratios (namely, the ratio of pre-provision net revenue to average assets and the return on average tangible assets and on average tangible common equity (including each of the foregoing on an as-adjusted basis)), (ix) adjusted noninterest expense, and (x) the adjusted efficiency ratio.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adjust GAAP financial measures to exclude intangible assets, including related amortization, and/or certain gains or charges, with respect to which the Company is unable to accurately predict when these charges will be incurred or, when incurred, the amount thereof. Management uses these non-GAAP financial measures when evaluating capital utilization and adequacy. In addition, the Company believes that these non-GAAP financial measures facilitate the making of period-to-period comparisons and are meaningful indicators of its operating performance, particularly because these measures are widely used by industry analysts for companies with merger and acquisition activities. Also, because intangible assets such as goodwill and the core deposit intangible can vary extensively from company to company and, as to intangible assets, are excluded from the calculation of a financial institution’s regulatory capital, the Company believes that the presentation of this non-GAAP financial information allows readers to more easily compare the Company’s results to information provided in other regulatory reports and the results of other companies. Reconciliations of these non-GAAP financial measures to the most directly comparable GAAP financial measures are included in the tables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non-GAAP financial information that the Company has included in this release or the accompanying presentation slides are intended to be considered in isolation or as a substitute for any measure prepared in accordance with GAAP. Investors should note that, because there are no standardized definitions for the calculations as well as the results, the Company’s calculations may not be comparable to similarly titled measures presented by other companies. Also, there may be limits in the usefulness of these measures to investors. As a result, the Company encourages readers to consider its consolidated financial statements in their entirety and not to rely on any single financial measure.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Reconciliations</w:t>
      </w:r>
    </w:p>
    <w:p>
      <w:pPr>
        <w:pStyle w:val="TextBody"/>
        <w:bidi w:val="0"/>
        <w:spacing w:before="0" w:after="0"/>
        <w:jc w:val="left"/>
        <w:rPr/>
      </w:pPr>
      <w:r>
        <w:rPr/>
      </w:r>
    </w:p>
    <w:tbl>
      <w:tblPr>
        <w:tblW w:w="10315" w:type="dxa"/>
        <w:jc w:val="left"/>
        <w:tblInd w:w="0" w:type="dxa"/>
        <w:tblLayout w:type="fixed"/>
        <w:tblCellMar>
          <w:top w:w="28" w:type="dxa"/>
          <w:left w:w="28" w:type="dxa"/>
          <w:bottom w:w="28" w:type="dxa"/>
          <w:right w:w="28" w:type="dxa"/>
        </w:tblCellMar>
      </w:tblPr>
      <w:tblGrid>
        <w:gridCol w:w="535"/>
        <w:gridCol w:w="272"/>
        <w:gridCol w:w="274"/>
        <w:gridCol w:w="196"/>
        <w:gridCol w:w="961"/>
        <w:gridCol w:w="109"/>
        <w:gridCol w:w="196"/>
        <w:gridCol w:w="961"/>
        <w:gridCol w:w="109"/>
        <w:gridCol w:w="196"/>
        <w:gridCol w:w="961"/>
        <w:gridCol w:w="109"/>
        <w:gridCol w:w="196"/>
        <w:gridCol w:w="961"/>
        <w:gridCol w:w="109"/>
        <w:gridCol w:w="196"/>
        <w:gridCol w:w="961"/>
        <w:gridCol w:w="109"/>
        <w:gridCol w:w="109"/>
        <w:gridCol w:w="109"/>
        <w:gridCol w:w="109"/>
        <w:gridCol w:w="196"/>
        <w:gridCol w:w="961"/>
        <w:gridCol w:w="109"/>
        <w:gridCol w:w="196"/>
        <w:gridCol w:w="961"/>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r>
          </w:p>
        </w:tc>
        <w:tc>
          <w:tcPr>
            <w:tcW w:w="6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 2025</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2026</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 2025</w:t>
            </w:r>
          </w:p>
        </w:tc>
      </w:tr>
      <w:tr>
        <w:trPr/>
        <w:tc>
          <w:tcPr>
            <w:tcW w:w="3613" w:type="dxa"/>
            <w:gridSpan w:val="9"/>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Adjusted Pre-Provision Net Revenue (“PPNR”)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(including unfunded commitments)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Pre-provision net revenue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 and conversion related expenses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 of MSR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 and Adjusted Tangible Net Income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of adjustments noted above</w:t>
            </w:r>
            <w:r>
              <w:rPr>
                <w:rFonts w:ascii="Times New Roman;serif" w:hAnsi="Times New Roman;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net income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 and conversion related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 1 acquisition provision for loan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 1 acquisition provision for unfunded commitments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 of MSR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of adjustments noted above</w:t>
            </w:r>
            <w:r>
              <w:rPr>
                <w:rFonts w:ascii="Times New Roman;serif" w:hAnsi="Times New Roman;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effect of adjustments noted above</w:t>
            </w:r>
            <w:r>
              <w:rPr>
                <w:rFonts w:ascii="Times New Roman;serif" w:hAnsi="Times New Roman;serif"/>
                <w:b w:val="false"/>
                <w:color w:val="000000"/>
                <w:sz w:val="10"/>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tangible net income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9"/>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Tangible Assets and Tangible Shareholders’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Average shareholders’ equity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intangible assets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(1,546,924)</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(1,548,244)</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(1,563,189)</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(1,578,846)</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(1,547,581)</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(1,297,622)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Average tangible shareholders’ equity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1,924,151 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assets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26,456,596 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intangible assets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(1,546,924)</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(1,548,244)</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(1,563,189)</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(1,578,846)</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(1,547,581)</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(1,297,622)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assets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25,253,369 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25,307,116 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25,130,350 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24,877,750 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24,593,375 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25,280,094 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20,811,262 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Shareholders’ equity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(1,555,560)</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(1,545,059)</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(1,552,452)</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(1,566,788)</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(1,555,560)</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(1,583,533)</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Tangible shareholders’ equity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26,624,975 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(1,555,560)</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(1,545,059)</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(1,552,452)</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(1,566,788)</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(1,555,560)</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(1,583,533)</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tangible assets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25,449,439 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25,562,215 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25,198,974 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25,159,377 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25,041,442 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25,449,439 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25,041,442 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7"/>
        <w:gridCol w:w="451"/>
        <w:gridCol w:w="454"/>
        <w:gridCol w:w="196"/>
        <w:gridCol w:w="736"/>
        <w:gridCol w:w="241"/>
        <w:gridCol w:w="196"/>
        <w:gridCol w:w="736"/>
        <w:gridCol w:w="241"/>
        <w:gridCol w:w="196"/>
        <w:gridCol w:w="736"/>
        <w:gridCol w:w="241"/>
        <w:gridCol w:w="196"/>
        <w:gridCol w:w="736"/>
        <w:gridCol w:w="241"/>
        <w:gridCol w:w="196"/>
        <w:gridCol w:w="736"/>
        <w:gridCol w:w="241"/>
        <w:gridCol w:w="203"/>
        <w:gridCol w:w="203"/>
        <w:gridCol w:w="109"/>
        <w:gridCol w:w="196"/>
        <w:gridCol w:w="736"/>
        <w:gridCol w:w="241"/>
        <w:gridCol w:w="196"/>
        <w:gridCol w:w="736"/>
        <w:gridCol w:w="288"/>
      </w:tblGrid>
      <w:tr>
        <w:trPr/>
        <w:tc>
          <w:tcPr>
            <w:tcW w:w="5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Performance Ratios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assets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average assets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tangible assets (non-GAAP)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Pre-provision net revenue to average assets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pre-provision net revenue to average assets (non-GAAP)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average tangible assets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equity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average equity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tangible equity (non-GAAP)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return on average tangible equity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Diluted Earnings Per Share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diluted shares outstanding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92,220,282</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94,228,343</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95,172,380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95,284,603</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95,136,160</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93,219,350</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79,671,775</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diluted earnings per share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Book Value Per Share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outstanding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91,403,230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92,881,329</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94,636,207</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95,020,881</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95,019,311</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91,403,230</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95,019,311</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per share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book value per share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Ratio</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 to assets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ratio (non-GAAP)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Efficiency Ratio</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(FTE)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sales of MSR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adjusted noninterest income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50,063 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46,026 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101,253 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83,262 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297,080 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 and conversion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adjusted noninterest expense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153,131 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147,108 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157,662 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300,239 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265,846 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efficiency ratio (non-GAAP)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393" w:type="dxa"/>
            <w:gridSpan w:val="6"/>
            <w:tcBorders/>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1"/>
        <w:gridCol w:w="337"/>
        <w:gridCol w:w="339"/>
        <w:gridCol w:w="212"/>
        <w:gridCol w:w="799"/>
        <w:gridCol w:w="261"/>
        <w:gridCol w:w="212"/>
        <w:gridCol w:w="799"/>
        <w:gridCol w:w="261"/>
        <w:gridCol w:w="196"/>
        <w:gridCol w:w="736"/>
        <w:gridCol w:w="241"/>
        <w:gridCol w:w="196"/>
        <w:gridCol w:w="736"/>
        <w:gridCol w:w="241"/>
        <w:gridCol w:w="196"/>
        <w:gridCol w:w="736"/>
        <w:gridCol w:w="241"/>
        <w:gridCol w:w="109"/>
        <w:gridCol w:w="109"/>
        <w:gridCol w:w="109"/>
        <w:gridCol w:w="196"/>
        <w:gridCol w:w="736"/>
        <w:gridCol w:w="241"/>
        <w:gridCol w:w="196"/>
        <w:gridCol w:w="736"/>
        <w:gridCol w:w="293"/>
      </w:tblGrid>
      <w:tr>
        <w:trPr/>
        <w:tc>
          <w:tcPr>
            <w:tcW w:w="7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Interest Income and Adjusted Net Interest Margin</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(FTE) (GAAP)</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227,657 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360,149 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collected on problem loans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recognized on purchased loans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recognized on purchased time deposits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recognized on purchased long term borrowings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net interest income</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(13,157)</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(15,122)</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(16,729)</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interest income (FTE) (non-GAAP)</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214,500 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213,302 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216,297 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427,802 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343,420 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 (FTE) (GAAP)</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interest margin (FTE) (non-GAAP)</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Loan Yield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interest income (FTE) (GAAP)</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300,112 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299,125 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504,338 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collected on problem loans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recognized on purchased loans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Adjusted loan interest income (FTE) (non-GAAP)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286,619 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283,667 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284,221 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570,286 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482,141 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yield (GAAP)</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loan yield (non-GAAP)</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Tax effect is calculated based on the respective legal entity’s appropriate federal and state tax rates (as applicable) for the period, and includes the estimated impact of both current and deferred tax expense.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center"/>
        <w:rPr/>
      </w:pPr>
      <w:bookmarkStart w:id="0" w:name="rnstq22026earningsdeck.htm"/>
      <w:bookmarkStart w:id="1" w:name="ksrnstq22026earningsdeck"/>
      <w:bookmarkEnd w:id="0"/>
      <w:bookmarkEnd w:id="1"/>
      <w:r>
        <w:rPr/>
        <w:drawing>
          <wp:inline distT="0" distB="0" distL="0" distR="0">
            <wp:extent cx="9753600" cy="54864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Second Quarter 2026 Earnings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may contain various statements about Renasant Corporation (“Renasant,” the “Company,” “we,” “our,” or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based on the current beliefs and expectations of management. We believe these forward-looking statements are reasonable, but they are all inherently subject to significant business, economic and competitive risks and uncertainties, many of which are beyond our control. In addition, these forward-looking statements are subject to assumptions about future business strategies and decisions that are subject to change. Actual results may differ from those indicated or implied in the forward-looking statements; such differences may be material. Prospective investors are cautioned that any forward-looking statements are not guarantees of future performance and involve risks and uncertainties. Investors should not place undue reliance on these forward-looking statements, which speak only as of the date they are made. 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the Company’s Annual Report on Form 10-K for the year ended December 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 Management believes that the assumptions underlying our forward-looking statements are reasonable, but any of the assumptions could prove to be inaccurate. Investors are urged to carefully consider the risks described in Renasant’s filings with the SEC from time to time, including its most recent Annual Report on Form 10-K and subsequent Quarterly Reports on Form 10-Q, which are available at www.renasant.com and the SEC’s website at www.sec.gov. We undertake no obligation, and specifically disclaim any obligation, to update or revise our forward-looking statements, whether as a result of new information or to reflect changed assumptions, the occurrence of unanticipated events or changes to future operating results over time, except as required by federal securities laws.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TN 12% MS 25% AL 22% FL 11% LA 5% GA 25% Deposits TN 8% MS 40% AL 14%FL 8% LA 3% GA 27% * Overview * Republic Business Credit operates on a nationwide basis. Locations in California, Illinois and Texas are not shown. Snapshot Footprint Loans and Deposits by State(1) Note: As of June 30, 2026 (1) As determined by the office or branch of origination 3 Assets: $27.0 billion Loans: 19.2 Deposits: 21.7 Equity: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Highlights • Net income was $87.1 million with both diluted EPS and adjusted diluted EPS (non-GAAP)(1) of $0.94 • Net interest margin was 3.83%, down 4 basis points linked quarter; adjusted net interest margin (non-GAAP)(1) was flat at 3.61% • Loans increased $220.9 million, or 4.7% annualized. Included in this increase is a $58.3 million loan portfolio that Renasant Bank’s subsidiary, Republic Business Credit, acquired during the quarter • Deposits decreased $398.4 million linked quarter. Seasonal outflows in public fund deposits contributed $367.7 million of the decrease. Noninterest bearing deposits decreased $145.4 million linked quarter; noninterest-bearing deposits represented 23.2% of total deposits at June 30, 2026 • Loan yield decreased 6 basis points; adjusted loan yield (non-GAAP)(1) decreased 1 basis point • Cost of total deposits increased 2 basis points to 1.96% • The ratio of the allowance for credit losses on loans to total loans decreased 2 basis points to 1.54% linked quarter • Net loan charge-offs for the second quarter of 2026 were $2.8 million, or 0.06% annualized • Nonperforming loans represented 0.97% of total loans, a decrease of 9 basis points linked quarter, and criticized loans to total loans decreased 11 basis points to 2.66% linked quarter (1) Adjusted diluted EPS, Adjusted net interest margin, Adjusted loan yield, Adjusted ROAA, ROATCE, Adjusted ROATCE and Adjusted efficiency ratio are non-GAAP financial measures. A reconciliation of GAAP to non-GAAP financial measures is included in the earnings release furnished to the SEC on the same Form 8-K as this presentation under the heading “Non-GAAP Reconciliations”. 4 Net Income $87.1 million Diluted EPS 0.94 Adjusted Diluted EPS (non-GAAP)(1) 0.94 Net Interest Margin 3.83% Adjusted Net Interest Margin (non- GAAP)(1) 3.61 Return on Average Assets (“ROAA”) 1.30 Adjusted ROAA (non-GAAP)(1) 1.30 Return on Average Tangible Equity (“ROATCE”) (non-GAAP)(1) 16.25 Adjusted ROATCE (non-GAAP)(1) 16.25 Efficiency Ratio 57.92 Adjusted Efficiency Ratio (non-GAAP)(1) 54.92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$26,625 $26,726 $26,751 $27,107 $27,005 2Q 2025 3Q 2025 4Q 2025 1Q 2026 2Q 2026 $18,563 $19,026 $19,047 $18,975 $19,196 2Q 2025 3Q 2025 4Q 2025 1Q 2026 2Q 2026 $21,583 $21,425 $21,473 $22,099 $21,701 2Q 2025 3Q 2025 4Q 2025 1Q 2026 2Q 2026 $3,779 $3,826 $3,885 $3,867 $3,871 2Q 2025 3Q 2025 4Q 2025 1Q 2026 2Q 2026 Balance Sheet Assets ($mm) Loans ($mm) Deposits ($mm) Equity ($mm)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Includes money market deposits (2) Excludes time deposits and public fund deposits Composition ($000s) Quarter Highlights $21,701,052 $22,099,484 $21,473,070 $21,424,555 $21,582,637 Noninterest-bearing Interest-bearing Savings Time 2Q 2026 1Q 2026 4Q 2025 3Q 2025 2Q 2025 Deposit Funding • Deposits declined $398.4 million in 2Q 2026 primarily due to the seasonal outflow of public fund deposits of $367.7 million • Noninterest-bearing deposits: 23.2% of total deposits • Average deposit account balance: $36,376 • Average commercial account balance: $87,498(2) • Average consumer account balance: $14,563(2) • Top 20 depositors: 3.9% of total deposits(2) Customer Mix 45% 44% 44% 44% 50% 38% 37% 38% 39% 31% 17% 19% 18% 17% 19% Consumer Commercial Public Funds 2Q 2026 1Q 2026 4Q 2025 3Q 2025 2Q 2025 2.12% 2.14% 1.97% 1.94% 1.96% 2.82% 2.83% 2.60% 2.54% 2.55% Total cost of deposits Cost of total interest-bearing deposits 2Q 2025 3Q 2025 4Q 2025 1Q 2026 2Q 2026 Cost of Deposits 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and Securities to Total Assets Loans to Deposits Average Interest Earning Asset Mix (2Q 2026) 18.5% 17.4% 17.4% 18.6% 17.4% 2Q 2025 3Q 2025 4Q 2025 1Q 2026 2Q 2026 86% 89% 89% 86% 88% 2Q 2025 3Q 2025 4Q 2025 1Q 2026 2Q 2026 80% 1% 16% 3% Loans Held for Investment Loans Held for Sale Securities Interest Bearing Balances With Banks Liquidity Position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14.19% 14.31% 14.52% 14.27% 14.34% 8.77% 8.98% 9.26% 9.08% 9.10% Shareholders' equity to assets Tangible common equity ratio (non-GAAP) 2Q 2025 3Q 2025 4Q 2025 1Q 2026 2Q 2026 11.08% 11.04% 11.24% 11.22% 11.06% 14.97% 14.88% 14.78% 14.77% 15.94% Common equity tier 1 capital ratio Total risk-based capital ratio 2Q 2025 3Q 2025 4Q 2025 1Q 2026 2Q 2026 Quarter Highlights • During the second quarter of 2026, the Company repurchased $60.0 million of common stock at a weighted average price of $39.54 • Effective April 28, 2026, the Company’s quarterly cash dividend was increased to $0.24 per share. This represents a $0.01 increase from the dividend paid in the previous quarter • Effective April 28, 2026, the Company’s Board of Directors increased the amount authorized for repurchase under the Company's stock repurchase program by $100.0 million for a total of $250.0 million. As of June 30, 2026, $101.8 million in repurchase authorization remained available under the program • On May 7, 2026, the Company completed a subordinated debt offering, issuing $300.0 million aggregate principal amount of 6.25% Fixed-to-Floating Rate Subordinated Notes due 2036 (1) Tangible Common Equity Ratio and Tangible Book Value are non-GAAP financial measures. A reconciliation of GAAP to non-GAAP financial measures is included in the earnings release furnished to the SEC on the same Form 8-K as this presentation under the heading “Non-GAAP Reconciliations”. $39.77 $40.26 $41.05 $41.63 $42.35 $23.10 $23.77 $24.65 $25.00 $25.34 Book Value Tangible Book Value (non-GAAP) 2Q 2025 3Q 2025 4Q 2025 1Q 2026 2Q 2026 Capital Position Equity to Assets / Tangible Common Equity Ratio (non-GAAP)(1) Common Equity Tier 1 Ratio / Total Risk-based Capital Ratio Book Value / Tangible Book Value (non-GAAP)(1) 8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QoQ Loans HFI Bridge ($mm) $18,975 $(16) $111 $(12) $(25) $167 $(4) $19,196 Q 1 2026 RE-1-4 Fam ily C&amp;LD NO O CRE O O CRE C&amp;I* Consum er Q 2 2026 Quarter Highlights • Loans increased $220.9 million linked quarter. Included in this increase is a $58.3 million loan portfolio that Renasant Bank’s subsidiary, Republic Business Credit, acquired during the quarter • Average loan balance: $326,094 24% 10% 32% 17% 16% 1% Real estate - 1-4 Family Mortgage Construction and Land Development Commercial Real Estate - Non-Owner Occupied Commercial Real Estate - Owner Occupied Commercial and Industrial Consumer Loan Composition 9 *Includes loans acquired through Republic Business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$805 $950 $914 $609 $957 $730 $757 $806 $827 $901 Production* Advances 2Q 2025 3Q 2025 4Q 2025 1Q 2026 2Q 2026 $657 $587 $876 $813 $895 $567 $657 $706 $695 $742 Payoffs Paydowns 2Q 2025 3Q 2025 4Q 2025 1Q 2026 2Q 2026 $18,975 $957 $901 $(895) $(742) $19,196 1Q 2026 Production* Advances Payoffs Paydowns 2Q 2026 Loan Activity QoQ Loan Bridge ($mm) Production &amp; Advance Trends ($mm) Payoff &amp; Paydown Trends ($mm) 10 *Includes loans acquired through Republic Business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$290,770 $297,591 $293,955 $295,862 $296,008 1.57% 1.56% 1.54% 1.56% 1.54% 0.26% 0.09% 0.19% 0.05% 0.06% ACL ACL / Loans Net Charge-offs / Average Loans 2Q 2025 3Q 2025 4Q 2025 1Q 2026 2Q 2026 $493,557 $612,513 $560,663 $525,413 $510,217 2.66% 3.22% 2.94% 2.77% 2.66% Criticized Loans Criticized Loans / Total Loans 2Q 2025 3Q 2025 4Q 2025 1Q 2026 2Q 2026 Asset Quality Criticized Loans ($000s)Allowance for Credit Losses &amp; Net Charge-offs ($000s) 0.25% 0.26% 0.47% 0.36% 0.16% Loans 30-89 Past Due / Total Loans 2Q 2025 3Q 2025 4Q 2025 1Q 2026 2Q 2026 Accruing Loans 30-89 Days Past DueQuarter Highlights • Average NPL balance: $305,709 • 99% of accruing criticized loans are current • Average criticized loan balance: $474,179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0.58% 0.68% 0.71% 0.79% 0.75% 0.76% 0.90% 0.92% 1.06% 0.97% NPAs / Total Assets NPLs / Total Loans 2Q 2025 3Q 2025 4Q 2025 1Q 2026 2Q 2026 $66,429 $5,935 $45,749 $21,962 $46,224 $184 Real Estate 1-4 Family Mortgage Construction and Land Development Commercial Real Estate - Non-Owner Occupied Commercial Real Estate - Owner-Occupied Commercial and Industrial Consumer NPLs by Loan Category ($000s) Asset Quality (cont.) Nonperforming Loans &amp; Nonperforming Assets $141,859 $171,548 $176,018 $200,294 $186,483 205% 173% 167% 148% 159% Nonperforming Loans ACL / Nonperforming Loans 2Q 2025 3Q 2025 4Q 2025 1Q 2026 2Q 2026 Nonperforming Loans ($000s)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$0.01 $0.63 $0.83 $0.94 $0.94 $0.69 $0.77 $0.91 $0.93 $0.94 Diluted EPS (GAAP) Adjusted Diluted EPS (non-GAAP) 2Q 2025 3Q 2025 4Q 2025 1Q 2026 2Q 2026 $222.7 $228.1 $232.4 $228.4 $227.7 $207.6 $214.4 $216.3 $213.3 $214.5 Net interest income (FTE) Adjusted net interest income (FTE) (non-GAAP) 2Q 2025 3Q 2025 4Q 2025 1Q 2026 2Q 2026 Note: Dollars in millions except per share amounts. (1) Adjusted Diluted EPS, Adjusted Net Income, Adjusted Net Interest Income (FTE), PPNR and Adjusted PPNR are non-GAAP financial measures. A reconciliation of GAAP to non-GAAP financial measures is included in the earnings release furnished to the SEC on the same Form 8-K as this presentation under the heading “Non-GAAP Reconciliations”. $84.0 $85.7 $107.8 $118.5 $112.4 $103.0 $103.2 $118.3 $118.3 $112.4 PPNR (non-GAAP) Adjusted PPNR (non-GAAP) 2Q 2025 3Q 2025 4Q 2025 1Q 2026 2Q 2026 $1.0 $59.8 $78.9 $88.2 $87.1 $65.9 $72.9 $86.9 $88.1 $87.1 Net Income Adjusted Net Income (non-GAAP) 2Q 2025 3Q 2025 4Q 2025 1Q 2026 2Q 2026 Profitability Diluted EPS / Adjusted Diluted EPS (non-GAAP)(1) Net Income / Adjusted Net Income (non-GAAP)(1) PPNR (non-GAAP)(1) / Adjusted PPNR (Non-GAAP)(1)Net Interest Income (FTE) / Adjusted Net Interest Income (FTE) (Non-GAAP)(1) 13 (1) (1) (1)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Adjusted ROAA, Adjusted ROTCE, PPNR/Average Assets and Adjusted PPNR/Average Assets are non-GAAP financial measures. A reconciliation of GAAP to non-GAAP financial measures is included in the earnings release furnished to the SEC on the same Form 8-K as this presentation under the heading “Non-GAAP Reconciliations”. 0.02% 0.90% 1.17% 1.33% 1.30% 1.01% 1.09% 1.29% 1.33% 1.30% ROAA (GAAP) ROAA (Adjusted) (non-GAAP) 2Q 2025 3Q 2025 4Q 2025 1Q 2026 2Q 2026 0.11% 6.25% 8.14% 9.20% 9.07% 13.50% 14.22% 16.18% 16.33% 16.25% ROAE (GAAP) ROTCE (Adjusted) (non-GAAP) 2Q 2025 3Q 2025 4Q 2025 1Q 2026 2Q 2026 1.29% 1.29% 1.60% 1.79% 1.68% 1.58% 1.55% 1.76% 1.79% 1.68% PPNR/Average Assets (non-GAAP) Adjusted PPNR/Average Assets (non-GAAP) 2Q 2025 3Q 2025 4Q 2025 1Q 2026 2Q 2026 Profitability Ratios ROAA / Adjusted ROAA (non-GAAP)(1) ROAE / Adjusted ROTCE (non-GAAP)(1) PPNR (non-GAAP)(1) / Adjusted PPNR Ratios (non-GAAP)(1) 14 (1) (1)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3.85% 3.85% 3.89% 3.87% 3.83% 3.58% 3.62% 3.62% 3.61% 3.61% Net Interest Margin Adjusted Net Interest Margin (FTE) (non-GAAP) 2Q 2025 3Q 2025 4Q 2025 1Q 2026 2Q 2026 (1) Adjusted Net Interest Margin (FTE) and Adjusted Loan Yield are non-GAAP financial measures. A reconciliation of GAAP to non-GAAP financial measures is included in the earnings release furnished to the SEC on the same Form 8-K as this presentation under the heading “Non-GAAP Reconciliations”. 6.63% 6.60% 6.45% 6.37% 6.31% 6.18% 6.23% 6.11% 6.04% 6.03% Loan yield Adjusted Loan Yield (non-GAAP) 2Q 2025 3Q 2025 4Q 2025 1Q 2026 2Q 2026 • Scheduled accretion and accelerated accretion recognized on acquired loans were $9.7 million and $2.7 million, respectively, for the second quarter of 2026, which included scheduled credit accretion and accelerated credit accretion of $3.1 million and $1.3 million, respectively • Accelerated bond discount accretion contributed $2.7 million to net interest income in the second quarter Net Interest Margin (FTE) and Loan Yield Net Interest Margin (FTE) / Adjusted Net Interest Margin (FTE) (non-GAAP)(1) Loan Yield / Adjusted Loan Yield (non-GAAP)(1) Adjusted Net Interest Margin (FTE) (non-GAAP)(1) Bridge Accretion 3.61 0.01 0.03 (0.04) 3.61 1Q2026 Loans Other Earning Assets IB Liabilities 2Q2026 15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Noninterest income increased $0.9 million linked quarter • New loan fees associated with Republic Business Credit’s portfolio acquisition during the second quarter provided an increase in fees and commissions • Life insurance proceeds during the second quarter drove an increase in BOLI income $51,190 $50,272 $51,125 $46,026 $48,334 Service charges Fees and commissions Wealth management Mortgage banking BOLI Other 2Q 2026 1Q 2026 4Q 2025 3Q 2025 2Q 2025 Noninterest Income Composition ($000s) Quarter Highlights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Noninterest expense increased $6.2 million linked quarter, driven primarily by deferred compensation accruals tied to market valuations, higher health insurance claims and annual merit increases Quarter Highlights 57.07% 57.51% 53.52% 52.82% 54.92% 67.59% 67.05% 60.23% 55.73% 57.92% Efficiency Ratio Adjusted efficiency ratio (non-GAAP) 2Q 2025 3Q 2025 4Q 2025 1Q 2026 2Q 2026 $161,501 $155,328 $170,750 $183,830 $183,204 Salaries and employee benefits Data processing Net occupancy and equipment Advertising and public relations Merger and conversion expenses Intangible amortization Other 2Q 2026 1Q 2026 4Q 2025 3Q 2025 2Q 2025 Noninterest Expense Efficiency Ratio Composition ($000s) (1) Adjusted Efficiency Ratio is a non-GAAP financial measure. A reconciliation of GAAP to non-GAAP financial measures is included in the earnings release furnished to the SEC on the same Form 8-K as this presentation under the heading “Non-GAAP Reconciliations”. 17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(Dollars in millions) Repricing Term(1) Rate Structure Total Loans 3 mos or less 3-12 mos 1-3 years 3-5 years 5-15 years Over 15 years Total Variable Fixed Commercial and Industrial $ 2,024 $ 193 $ 286 $ 389 $ 169 $ 2 $ 3,063 $ 2,045 $ 1,018 Commercial Real Estate - Owner-Occupied 1,299 225 564 767 439 39 3,333 1,432 1,901 Commercial Real Estate - Non-Owner Occupied 3,527 444 1,060 731 349 12 6,123 3,698 2,425 Construction and Land Development 1,486 76 83 228 91 46 2,010 1,555 455 Real Estate 1-4 Family Mortgage 1,033 272 457 567 796 1,443 4,568 2,599 1,969 Consumer 25 20 30 18 6 — 99 17 82 Total $ 9,394 $ 1,230 $ 2,480 $ 2,700 $ 1,850 $ 1,542 $ 19,196 $ 11,346 $ 7,850 Weighted Average Rate - Fixed 5.2 % 5.0 % 5.8 % 6.2 % 4.6 % 5.5 % 5.5 % Weighted Average Rate - Variable 6.5 % 6.0 % 5.4 % 5.7 % 5.5 % 4.8 % 6.3 % % Fixed 4.6 % 74.0 % 82.6 % 81.6 % 65.2 % 68.0 % 40.9 % % Variable 95.4 % 26.0 % 17.4 % 18.4 % 34.8 % 32.0 % 59.1 % Note: As of June 30, 2026 (1) Based on maturity date for fixed rate loans and variable rate loans that are at their floor or ceiling Loan Repricing and Maturity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As of June 30, 2026 Agency CMO 27% Agency MBS 34% Municipal 14% Agency CMBS 14% SBA 9% Other 2% • Amortized cost of $3.9 billion; GAAP value of $3.8 billion, which represents 14.2% of total assets • Duration of 3.5 years • 26% of portfolio HTM based on par value ◦ 10.3% of HTM are CRA investments ◦ 26.4% of HTM are Municipals • Unrealized losses in AOCI on securities totaled $148.7 million ($111.8 million, net of tax); unrealized losses in AOCI on HTM securities totaled $48.9 million ($36.5 million, net of tax) $3.9 Billion Securities Composition (Amortized Cost) Quarter Highlights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22% 19% 10% 7% 7% 12% 5% 3% Warehouse/Industrial Retail Multi-family Self Storage Medical Office Office (non-medical) Hotel Senior Housing Other Quarter Highlights Note: As of June 30, 2026; LTV is calculated using the most recent appraisal available. (1) Based on commitment amount (2) Includes reserves for both loans evaluated collectively and those individually evaluated (Dollars in millions) Retail Multi-Family Warehouse/ Industrial Amount $1,370.8 $1,161.1 $952.5 Avg Loan Size(1) $1.5 $2.3 $2.5 Percent of Loans 7.1% 6.0% 5.0% Past Due or Nonaccrual 0.09% 0.10% 0.81% ACL Reserve(2) 0.84% 0.76% 0.85% WA LTV 54.5% 54.3% 52.3% Loans &lt;75% LTV 88.0% 94.5% 96.9% Percent in Footprint 97.3% 99.8% 89.4% Q2 Loan Growth 4.7% (9.2)% 2.1% Commercial Real Estate - Non-owner Occupied $6.1 Billion Composition 31.9% $2.0 million 54.7% 0.01% 0.75% % of Loans Avg Loan Size(1) WA LTV 30-89 Days NPLs(2)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As of June 30, 2026; LTV is calculated using the most recent appraisal available. (1) Based on commitment amount (2) Includes reserves for both loans evaluated collectively and those individually evaluated 21% 25% 10% 16% 4% 7% 7% 6% 2%1%1% 1-4 Family Land &amp; Dev. Commercial Owner-Occupied Multi-family Office Retail Self Storage Warehouse / Industrial Hotels Other Senior Housing Amount ($mm) $2,009.7 Avg Loan Size ($mm)(1) $1.2 Percent of Loans 10.5% Past Due or Nonaccrual 0.41% ACL Reserve(2) 2.00% WA LTV 63.4% Loans &lt;75% LTV 80.6% Percent in Footprint 98.8% Q2 Loan Growth 5.8% Construction and Land Development $2.0 Billion Composition Quarter Highlights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ACL Changes $295,862 $5,573 $3,923 $(707) $(415) $(2,363) $(5,865) $296,008 1Q 2026 Balance Changes Q-Factor Changes Loss Rates Loan Credit Migration Net C/Os Other Individually Evaluated 2Q 2026 Note: Dollars in thousands (1) Includes Day One reserve for loans acquired through Republic Business Credit (2) Remaining Net Charge-offs are included in Other Individually Evaluated 23 (2)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2025 1Q 2026 2Q 2026 Gain on sales of loans, net $ 5,316 $ 5,305 $ 4,760 Fees, net 3,740 2,842 3,470 Mortgage servicing income, net 2,207 1,288 948 Mortgage banking income, net $ 11,263 $ 9,435 $ 9,178 2Q 2025 1Q 2026 2Q 2026 Wholesale 33 42 32 Retail 67 58 68 Purchase 84 67 79 Refinance 16 33 21 $679.6 $590.2 $489.5 $542.3 $611.6 2Q 2025 3Q 2025 4Q 2025 1Q 2026 2Q 2026 (1) Gain on sale margin excludes pipeline fair value adjustments and buyback reserve activity included in “Gain on sales of loans, net” in the table above 1.87% 1.32% 1.99% 1.85% 1.57% 2Q 2025 3Q 2025 4Q 2025 1Q 2026 2Q 2026 Mortgage Banking Mortgage Banking Income ($000s) Mix (%) Locked Volume ($mm) Gain on Sale Margin(1)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11615</Words>
  <Characters>64468</Characters>
  <CharactersWithSpaces>74973</CharactersWithSpaces>
  <Paragraphs>2713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rnstq22026earningsdeck</dc:title>
</cp:coreProperties>
</file>