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FORM 11-K</w:t>
      </w:r>
    </w:p>
    <w:p>
      <w:pPr>
        <w:sectPr>
          <w:pgSz w:w="11900" w:h="16838" w:orient="portrait"/>
          <w:cols w:equalWidth="0" w:num="1">
            <w:col w:w="9279"/>
          </w:cols>
          <w:pgMar w:left="1180" w:top="1440" w:right="1440" w:bottom="1440" w:gutter="0" w:footer="0" w:header="0"/>
        </w:sectPr>
      </w:pP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0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FFFF"/>
        </w:rPr>
        <w:t>X</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ind w:left="460" w:right="1819" w:hanging="9"/>
        <w:spacing w:after="0" w:line="245" w:lineRule="auto"/>
        <w:rPr>
          <w:sz w:val="20"/>
          <w:szCs w:val="20"/>
          <w:color w:val="auto"/>
        </w:rPr>
      </w:pPr>
      <w:r>
        <w:rPr>
          <w:rFonts w:ascii="Times New Roman" w:cs="Times New Roman" w:eastAsia="Times New Roman" w:hAnsi="Times New Roman"/>
          <w:sz w:val="18"/>
          <w:szCs w:val="18"/>
          <w:color w:val="auto"/>
        </w:rPr>
        <w:t>Annual Report Pursuant to Section 15(d) of the Securities Exchange Act of 1934 For the fiscal year ended December 31, 2021</w:t>
      </w:r>
    </w:p>
    <w:p>
      <w:pPr>
        <w:spacing w:after="0" w:line="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Or</w:t>
      </w:r>
    </w:p>
    <w:p>
      <w:pPr>
        <w:spacing w:after="0" w:line="23" w:lineRule="exact"/>
        <w:rPr>
          <w:sz w:val="24"/>
          <w:szCs w:val="24"/>
          <w:color w:val="auto"/>
        </w:rPr>
      </w:pPr>
    </w:p>
    <w:p>
      <w:pPr>
        <w:ind w:left="460" w:right="1619" w:hanging="2"/>
        <w:spacing w:after="0" w:line="245" w:lineRule="auto"/>
        <w:rPr>
          <w:sz w:val="20"/>
          <w:szCs w:val="20"/>
          <w:color w:val="auto"/>
        </w:rPr>
      </w:pPr>
      <w:r>
        <w:rPr>
          <w:rFonts w:ascii="Times New Roman" w:cs="Times New Roman" w:eastAsia="Times New Roman" w:hAnsi="Times New Roman"/>
          <w:sz w:val="18"/>
          <w:szCs w:val="18"/>
          <w:color w:val="auto"/>
        </w:rPr>
        <w:t>Transition Report Pursuant to Section 15(d) of the Securities Exchange Act of 1934 For the transition period from ____ to ____</w:t>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939"/>
        <w:spacing w:after="0"/>
        <w:rPr>
          <w:sz w:val="20"/>
          <w:szCs w:val="20"/>
          <w:color w:val="auto"/>
        </w:rPr>
      </w:pPr>
      <w:r>
        <w:rPr>
          <w:rFonts w:ascii="Times New Roman" w:cs="Times New Roman" w:eastAsia="Times New Roman" w:hAnsi="Times New Roman"/>
          <w:sz w:val="18"/>
          <w:szCs w:val="18"/>
          <w:color w:val="auto"/>
        </w:rPr>
        <w:t>Commission file number 001-13253</w:t>
      </w:r>
    </w:p>
    <w:p>
      <w:pPr>
        <w:spacing w:after="0" w:line="50"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 from that of the issuer named below:</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25"/>
          <w:szCs w:val="25"/>
          <w:b w:val="1"/>
          <w:bCs w:val="1"/>
          <w:color w:val="auto"/>
        </w:rPr>
        <w:t>RENASANT BANK 401(k)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-1221105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0" w:space="320"/>
            <w:col w:w="8099"/>
          </w:cols>
          <w:pgMar w:left="1180" w:top="1440" w:right="1440" w:bottom="1440" w:gutter="0" w:footer="0" w:header="0"/>
          <w:type w:val="continuous"/>
        </w:sectPr>
      </w:pPr>
    </w:p>
    <w:p>
      <w:pPr>
        <w:spacing w:after="0" w:line="196"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B. Name of issuer of the securities held pursuant to the plan and the address of its principal executive office:</w:t>
      </w:r>
    </w:p>
    <w:p>
      <w:pPr>
        <w:spacing w:after="0" w:line="3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RENASANT CORPORATION</w:t>
      </w:r>
    </w:p>
    <w:p>
      <w:pPr>
        <w:spacing w:after="0" w:line="1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209 Troy Street</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Tupelo, MS 38804-4827</w:t>
      </w:r>
    </w:p>
    <w:p>
      <w:pPr>
        <w:sectPr>
          <w:pgSz w:w="11900" w:h="16838" w:orient="portrait"/>
          <w:cols w:equalWidth="0" w:num="1">
            <w:col w:w="9279"/>
          </w:cols>
          <w:pgMar w:left="1180" w:top="1440" w:right="1440"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10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Renasant Bank 401(k) Plan</w:t>
            </w:r>
          </w:p>
        </w:tc>
        <w:tc>
          <w:tcPr>
            <w:tcW w:w="340" w:type="dxa"/>
            <w:vAlign w:val="bottom"/>
          </w:tcPr>
          <w:p>
            <w:pPr>
              <w:spacing w:after="0"/>
              <w:rPr>
                <w:sz w:val="20"/>
                <w:szCs w:val="20"/>
                <w:color w:val="auto"/>
              </w:rPr>
            </w:pPr>
          </w:p>
        </w:tc>
      </w:tr>
      <w:tr>
        <w:trPr>
          <w:trHeight w:val="324"/>
        </w:trPr>
        <w:tc>
          <w:tcPr>
            <w:tcW w:w="108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Form 11-K</w:t>
            </w:r>
          </w:p>
        </w:tc>
        <w:tc>
          <w:tcPr>
            <w:tcW w:w="340" w:type="dxa"/>
            <w:vAlign w:val="bottom"/>
          </w:tcPr>
          <w:p>
            <w:pPr>
              <w:spacing w:after="0"/>
              <w:rPr>
                <w:sz w:val="24"/>
                <w:szCs w:val="24"/>
                <w:color w:val="auto"/>
              </w:rPr>
            </w:pPr>
          </w:p>
        </w:tc>
      </w:tr>
      <w:tr>
        <w:trPr>
          <w:trHeight w:val="324"/>
        </w:trPr>
        <w:tc>
          <w:tcPr>
            <w:tcW w:w="10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For the Year Ended December 31, 2021</w:t>
            </w:r>
          </w:p>
        </w:tc>
        <w:tc>
          <w:tcPr>
            <w:tcW w:w="340" w:type="dxa"/>
            <w:vAlign w:val="bottom"/>
          </w:tcPr>
          <w:p>
            <w:pPr>
              <w:spacing w:after="0"/>
              <w:rPr>
                <w:sz w:val="24"/>
                <w:szCs w:val="24"/>
                <w:color w:val="auto"/>
              </w:rPr>
            </w:pPr>
          </w:p>
        </w:tc>
      </w:tr>
      <w:tr>
        <w:trPr>
          <w:trHeight w:val="324"/>
        </w:trPr>
        <w:tc>
          <w:tcPr>
            <w:tcW w:w="108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40" w:type="dxa"/>
            <w:vAlign w:val="bottom"/>
          </w:tcPr>
          <w:p>
            <w:pPr>
              <w:spacing w:after="0"/>
              <w:rPr>
                <w:sz w:val="24"/>
                <w:szCs w:val="24"/>
                <w:color w:val="auto"/>
              </w:rPr>
            </w:pPr>
          </w:p>
        </w:tc>
      </w:tr>
      <w:tr>
        <w:trPr>
          <w:trHeight w:val="216"/>
        </w:trPr>
        <w:tc>
          <w:tcPr>
            <w:tcW w:w="108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50"/>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40" w:type="dxa"/>
            <w:vAlign w:val="bottom"/>
          </w:tcPr>
          <w:p>
            <w:pPr>
              <w:spacing w:after="0"/>
              <w:rPr>
                <w:sz w:val="24"/>
                <w:szCs w:val="24"/>
                <w:color w:val="auto"/>
              </w:rPr>
            </w:pPr>
          </w:p>
        </w:tc>
      </w:tr>
      <w:tr>
        <w:trPr>
          <w:trHeight w:val="486"/>
        </w:trPr>
        <w:tc>
          <w:tcPr>
            <w:tcW w:w="10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86"/>
        </w:trPr>
        <w:tc>
          <w:tcPr>
            <w:tcW w:w="10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6"/>
        </w:trPr>
        <w:tc>
          <w:tcPr>
            <w:tcW w:w="10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340" w:type="dxa"/>
            <w:vAlign w:val="bottom"/>
          </w:tcPr>
          <w:p>
            <w:pPr>
              <w:spacing w:after="0"/>
              <w:rPr>
                <w:sz w:val="24"/>
                <w:szCs w:val="24"/>
                <w:color w:val="auto"/>
              </w:rPr>
            </w:pPr>
          </w:p>
        </w:tc>
      </w:tr>
      <w:tr>
        <w:trPr>
          <w:trHeight w:val="506"/>
        </w:trPr>
        <w:tc>
          <w:tcPr>
            <w:tcW w:w="10860" w:type="dxa"/>
            <w:vAlign w:val="bottom"/>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Schedule H, Line 4i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Schedule of Assets (Held at End of Year)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6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8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1417" w:right="339" w:bottom="1440" w:gutter="0" w:footer="0" w:header="0"/>
        </w:sectPr>
      </w:pPr>
    </w:p>
    <w:bookmarkStart w:id="2" w:name="page3"/>
    <w:bookmarkEnd w:id="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Audit Committee, Plan Administrator, and Plan Participants of the Renasant Bank 401(k)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Renasant Bank 401(k) Plan (the “Plan”) as of December 31, 2021 and 2020, the related statements of changes in net assets available for benefits for the years ended December 31, 2021 and 2020, and the related notes to the financial statements (collectively, “the financial statements”). In our opinion, the financial statements present fairly, in all material respects, the net assets available for benefits of the Plan as of December 31, 2021 and 2020, and the changes in net assets available for benefits for the years ended December 31, 2021 and 2020,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Information</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2021,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HORNE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Mutual funds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Separately managed accounts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Renasant Corporation common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Receivables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Company contributions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Participant contributions</w:t>
      </w:r>
    </w:p>
    <w:p>
      <w:pPr>
        <w:spacing w:after="0" w:line="23" w:lineRule="exact"/>
        <w:rPr>
          <w:sz w:val="20"/>
          <w:szCs w:val="20"/>
          <w:color w:val="auto"/>
        </w:rPr>
      </w:pPr>
    </w:p>
    <w:p>
      <w:pPr>
        <w:ind w:right="540" w:firstLine="93"/>
        <w:spacing w:after="0" w:line="307" w:lineRule="auto"/>
        <w:rPr>
          <w:sz w:val="20"/>
          <w:szCs w:val="20"/>
          <w:color w:val="auto"/>
        </w:rPr>
      </w:pPr>
      <w:r>
        <w:rPr>
          <w:rFonts w:ascii="Times New Roman" w:cs="Times New Roman" w:eastAsia="Times New Roman" w:hAnsi="Times New Roman"/>
          <w:sz w:val="18"/>
          <w:szCs w:val="18"/>
          <w:color w:val="auto"/>
        </w:rPr>
        <w:t>Notes receivable from participants Total receivables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See Notes to Financial Statements.</w:t>
      </w:r>
    </w:p>
    <w:p>
      <w:pPr>
        <w:spacing w:after="0" w:line="20" w:lineRule="exact"/>
        <w:rPr>
          <w:sz w:val="20"/>
          <w:szCs w:val="20"/>
          <w:color w:val="auto"/>
        </w:rPr>
      </w:pPr>
      <w:r>
        <w:rPr>
          <w:sz w:val="20"/>
          <w:szCs w:val="20"/>
          <w:color w:val="auto"/>
        </w:rPr>
        <w:br w:type="column"/>
      </w:r>
    </w:p>
    <w:p>
      <w:pPr>
        <w:jc w:val="center"/>
        <w:ind w:right="3900"/>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7"/>
          <w:szCs w:val="17"/>
          <w:color w:val="auto"/>
        </w:rPr>
        <w:t>Statements of Net Assets Available for Benefits</w:t>
      </w:r>
    </w:p>
    <w:p>
      <w:pPr>
        <w:spacing w:after="0" w:line="24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418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920"/>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115,570</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140,528</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123,870</w:t>
            </w: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25,742</w:t>
            </w:r>
          </w:p>
        </w:tc>
      </w:tr>
      <w:tr>
        <w:trPr>
          <w:trHeight w:val="228"/>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305,453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265,182</w:t>
            </w:r>
          </w:p>
        </w:tc>
      </w:tr>
      <w:tr>
        <w:trPr>
          <w:trHeight w:val="706"/>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w:t>
            </w:r>
          </w:p>
        </w:tc>
      </w:tr>
      <w:tr>
        <w:trPr>
          <w:trHeight w:val="229"/>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8"/>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w:t>
            </w:r>
          </w:p>
        </w:tc>
      </w:tr>
      <w:tr>
        <w:trPr>
          <w:trHeight w:val="481"/>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279,545</w:t>
            </w:r>
          </w:p>
        </w:tc>
      </w:tr>
      <w:tr>
        <w:trPr>
          <w:trHeight w:val="486"/>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314,084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279,545</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-2596515</wp:posOffset>
            </wp:positionV>
            <wp:extent cx="713232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-2287905</wp:posOffset>
            </wp:positionV>
            <wp:extent cx="7132320"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-1996440</wp:posOffset>
            </wp:positionV>
            <wp:extent cx="7132320"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-1705610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-1388110</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-1096645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-805180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-487680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3120" w:space="720"/>
            <w:col w:w="7340"/>
          </w:cols>
          <w:pgMar w:left="380" w:top="12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7"/>
        </w:trPr>
        <w:tc>
          <w:tcPr>
            <w:tcW w:w="8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r>
      <w:tr>
        <w:trPr>
          <w:trHeight w:val="229"/>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r>
      <w:tr>
        <w:trPr>
          <w:trHeight w:val="230"/>
        </w:trPr>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investment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36,015</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32,296</w:t>
            </w:r>
          </w:p>
        </w:tc>
      </w:tr>
      <w:tr>
        <w:trPr>
          <w:trHeight w:val="257"/>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18,077</w:t>
            </w:r>
          </w:p>
        </w:tc>
      </w:tr>
      <w:tr>
        <w:trPr>
          <w:trHeight w:val="229"/>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Participants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r>
      <w:tr>
        <w:trPr>
          <w:trHeight w:val="229"/>
        </w:trPr>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Rollovers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contributions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r>
      <w:tr>
        <w:trPr>
          <w:trHeight w:val="257"/>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Deductions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23,692</w:t>
            </w:r>
          </w:p>
        </w:tc>
      </w:tr>
      <w:tr>
        <w:trPr>
          <w:trHeight w:val="229"/>
        </w:trPr>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Corrective distributions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Administrative expenses and fees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deductions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23,705</w:t>
            </w:r>
          </w:p>
        </w:tc>
      </w:tr>
      <w:tr>
        <w:trPr>
          <w:trHeight w:val="256"/>
        </w:trPr>
        <w:tc>
          <w:tcPr>
            <w:tcW w:w="8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23"/>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41,810</w:t>
            </w:r>
          </w:p>
        </w:tc>
      </w:tr>
      <w:tr>
        <w:trPr>
          <w:trHeight w:val="257"/>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8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237,735</w:t>
            </w:r>
          </w:p>
        </w:tc>
      </w:tr>
      <w:tr>
        <w:trPr>
          <w:trHeight w:val="257"/>
        </w:trPr>
        <w:tc>
          <w:tcPr>
            <w:tcW w:w="80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23"/>
        </w:trPr>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314,084</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279,545</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of the Renasant Bank 401(k) Plan (the “Plan”) is provided for general information purposes only. Participants should refer to the Plan document for more complete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is a defined contribution plan that includes a “safe harbor” arrangement within the meaning of Section 401(k)(13) of the Internal Revenue Code of 1986, as amended (the “Internal Revenue Code”), and is subject to the provisions of the Employee Retirement Income Security Act of 1974, as amended (“ERISA”). The Plan covers substantially all employees of Renasant Bank (the “Bank”) and its parent company, Renasant Corporation (the “Company”), as well as all employees of the Bank's wholly-owned subsidiaries, Renasant Insurance, Inc. and Park Place Capital Corporation. The Plan was amended in 2020 to: (a) change the Bank's profit-sharing contribution to a discretionary contribution; (b) modify the class of participants eligible to receive an allocation of the profit-sharing contribution; (c) add Park Place Capital Corporation as a participating employer; and (d) incorporate some provisions of the CARES Act, modifying rules related to certain distributions and loans made during 2020. The Plan was amended in 2021, such that executive officers are no longer eligible to receive an allocation of the Bank's profit-sharing contributions.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Common law employees, other than employees subject to a collective bargaining agreement, non-resident aliens and temporary and seasonal workers, are immediately eligible to participate in the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Participants may voluntarily defer compensation up to applicable IRS limits, as defined in the Plan document. Any deferrals in excess of applicable IRS limits are distributed to the participant in accordance with the terms of the Plan and are included in the line item “Corrective distributions” in the Statements of Changes in Net Assets Available for Benefits. Participants may also rollover distributions from other qualified retirement plans, subject to the approval of the Plan administrator.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the Plan allow participants who were age 50 years or older during the calendar year to make catch-up contributions to the Plan. Catch-up contributions represent participant compensation deferrals in excess of regular plan and statutory limits.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matches 100% of each eligible participant’s voluntary deferrals, including catch-up contributions, up to 4% of compensation. The Bank may elect to make a profit sharing contribution in any year, allocated as a level percentage of the compensation of each eligible participant and the same percentage of compensation of each eligible participant in excess of the Social Security wage base.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Participant Accounts; Allocations</w:t>
      </w:r>
      <w:r>
        <w:rPr>
          <w:rFonts w:ascii="Times New Roman" w:cs="Times New Roman" w:eastAsia="Times New Roman" w:hAnsi="Times New Roman"/>
          <w:sz w:val="18"/>
          <w:szCs w:val="18"/>
          <w:color w:val="auto"/>
        </w:rPr>
        <w:t>: The Plan maintains one or more accounts for each participant, including a money purchase account for participants in a predecessor plan - The Peoples Bank &amp; Trust Company Money Purchase Plan - and an ESOP account for those participants who previously participated in the Renasant Bank Employee Stock Ownership Plan. Deferrals and rollover contributions are allocated to their respective accounts when made. Profit sharing contributions are made and allocated at the end of the Plan Year to the accounts of eligible participants (a) who are employed on the last day of the Plan Year and are credited with 1,000 hours of service during such year, (b) who die or become disabled during the Plan Year, or (c) who attain the normal retirement age while employed. No additional contributions are allocated to money purchase accounts or ESOP accounts.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Participants direct the investment of their accounts in an ERISA Section 404(c) arrangement. Earnings are allocated to accounts each business day. The Plan allows participants to invest in common stock of the Bank's parent company - Renasant Corporation (“Employer Stock”). Participants may elect annually whether cash dividends paid on Employer Stock will be re-invested in additional shares of Employer Stock within the individual participant's account or be paid to the participant in cash.</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Participants are fully vested in deferrals and rollovers and earnings allocable to such contributions. Matching contributions made prior to January 1, 2017 and nondiscretionary profit sharing contributions vest under a six-year graduated schedule as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Plan (continued)</w:t>
      </w:r>
    </w:p>
    <w:p>
      <w:pPr>
        <w:spacing w:after="0" w:line="299"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23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Years of Service</w:t>
            </w:r>
          </w:p>
        </w:tc>
        <w:tc>
          <w:tcPr>
            <w:tcW w:w="15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Vested %</w:t>
            </w:r>
          </w:p>
        </w:tc>
      </w:tr>
      <w:tr>
        <w:trPr>
          <w:trHeight w:val="207"/>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two</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Two, but less than three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Three, but less than four</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 but less than five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Five, but less than six</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Six or more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harbor matching contributions made after January 1, 2017, vest 100% after two years of service.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Forfeitures</w:t>
      </w:r>
      <w:r>
        <w:rPr>
          <w:rFonts w:ascii="Times New Roman" w:cs="Times New Roman" w:eastAsia="Times New Roman" w:hAnsi="Times New Roman"/>
          <w:sz w:val="18"/>
          <w:szCs w:val="18"/>
          <w:color w:val="auto"/>
        </w:rPr>
        <w:t>: Forfeitures of non-vested contributions are used to reduce future employer contributions. There were forfeitures used in the amount of $400,000 and $476,960 for the years ended December 31, 2021 and 2020,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Benefits are equal to the vested value of each participant’s accounts. Upon termination of service, benefits are paid in the form of a single sum, except those amounts allocable to a participant’s money purchase account, which are paid in the form of an annuity, unless a participant otherwise elects.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Processing fees of the Plan are charged against the individual participant account balance that was responsible for the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are paid by the Plan or may be paid by the Company at the Company's discretion.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Participants may borrow from their fund accounts up to a maximum equal to the lesser of $50,000 or 50% of their vested account balance. Loan terms range from one to five years, unless the loan is for the purchase of a principal residence. The loans are secured by the balance in the participant's accounts and bear interest at 1% over the Prime Rate published in the Wall Street Journal on the first business day of the month before the loan is originated. At December 31, 2021, the Prime Rate was 3.25%. The interest rate is fixed for the life of the loan. Principal and interest are paid ratably through payroll deductions.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Basis of Accounting</w:t>
      </w:r>
      <w:r>
        <w:rPr>
          <w:rFonts w:ascii="Times New Roman" w:cs="Times New Roman" w:eastAsia="Times New Roman" w:hAnsi="Times New Roman"/>
          <w:sz w:val="18"/>
          <w:szCs w:val="18"/>
          <w:color w:val="auto"/>
        </w:rPr>
        <w:t>: The Plan's financial statements are prepared using the accrual basis of accounting, with the exception of the payment of benefits, which are recognized as a reduction in the net assets available for benefits of the Plan as they are disbursed to participants.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requires the Plan administrator to make estimates and assumptions that affect certain reported amounts and disclosures. Accordingly, actual results may differ from those estimates.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Investment Valuation and Income Recognition</w:t>
      </w:r>
      <w:r>
        <w:rPr>
          <w:rFonts w:ascii="Times New Roman" w:cs="Times New Roman" w:eastAsia="Times New Roman" w:hAnsi="Times New Roman"/>
          <w:sz w:val="18"/>
          <w:szCs w:val="18"/>
          <w:color w:val="auto"/>
        </w:rPr>
        <w:t>: Investments are reported at fair value. Fair value is the price that would be received to sell an asset or paid to transfer a liability in an arms-length transaction between market participants at the measurement date. Refer to Note G, “Fair Value Measurements,” for a discussion of the methods and assumptions used by the Plan to estimate the fair values of the Plan’s investments. Purchases and sales of securities are recorded on a trade-date basis. Interest income is recorded on the accrual basis. Dividends are recorded on the ex-dividend date. Net appreciation (depreciation) in the fair value of investments, as recorded in the Statements of Changes in Net Assets Available for Benefits, includes changes in the fair value of investments acquired, sold or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r>
        <w:rPr>
          <w:rFonts w:ascii="Times New Roman" w:cs="Times New Roman" w:eastAsia="Times New Roman" w:hAnsi="Times New Roman"/>
          <w:sz w:val="18"/>
          <w:szCs w:val="18"/>
          <w:color w:val="auto"/>
        </w:rPr>
        <w:t>: Notes receivable from participants are measured at their unpaid principal balance plus any accrued but unpaid interest.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The Plan has evaluated, for consideration of recognition or disclosure, subsequent events that have occurred after December 31, 2021 through the date of issuance of its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events that required adjustment to or disclosure in the financial statements occurred prior to the issuance of the accompanying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Renasant Bank sponsors the Plan. Common stock of the Company is one of the investment options in the Plan. Renasant Bank is the trustee of the Plan. Great-West Life &amp; Annuity Insurance Company and related subsidiaries are third party administrators of the Plan. Transactions between the Plan and these entities constitute exempt party-in-interest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Plan’s investments are offered in the form of separately managed accounts, each consisting of mutual funds. Although these separately managed accounts bear the name of Renasant Bank, they do not consist of shares of the Company, and the underlying mutual funds are not proprietary to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Risks and Uncertainties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Tax Status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obtained its latest determination letter on July 27, 2017, in which the Internal Revenue Service stated that the Plan was in compliance with the applicable requirements of the Internal Revenue Code. The Plan sponsor believes the Plan is currently designed and being operated in compliance with the applicable requirements of the Internal Revenue Code. Therefore, no provision for income taxes has been included in the Plan's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Plan Termination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at any time to terminate the Plan, in whole or in part, subject to the provisions of ERISA. In the event of Plan termination, affected participants will become 100% vested in their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Accounting Standards Board Accounting Standards Codification Topic 820, “Fair Value Measurements,” provides guidance for using fair value to measure assets and liabilities and also establishes a fair value hierarchy that prioritizes the inputs to valuation techniques used to measure fair value into three broad levels. The fair value hierarchy gives the highest priority to a valuation based on quoted prices in active markets for identical assets and liabilities (Level 1), moderate priority to a valuation based on quoted prices in active markets for similar assets and liabilities and/or based on assumptions that are observable in the market (Level 2), and the lowest priority to a valuation based on assumptions that are not observable in the market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Renasant Bank 401(k)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Fair Value Measurements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are used by the Plan to estimate the fair values of the Plan’s financial instruments on a recurring basis: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These investments are valued using the Net Asset Value (“NAV”) provided by the administrator of the fund. The NAV is based on the value of the underlying assets owned by the fund, minus its liabilities, and then divided by the number of shares outstanding. Mutual funds held by the Plan are open-end mutual funds that are registered with the Securities and Exchange Commission. These funds are required to publish their daily NAV and transact at that price. The mutual funds held by the Plan are deemed to be actively traded. (Level 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Separately managed accounts</w:t>
      </w:r>
      <w:r>
        <w:rPr>
          <w:rFonts w:ascii="Times New Roman" w:cs="Times New Roman" w:eastAsia="Times New Roman" w:hAnsi="Times New Roman"/>
          <w:sz w:val="18"/>
          <w:szCs w:val="18"/>
          <w:color w:val="auto"/>
        </w:rPr>
        <w:t>: The initial pricing inputs are the quoted share prices obtained for the underlying mutual funds. (Level 1)</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Renasant Corporation common stock</w:t>
      </w:r>
      <w:r>
        <w:rPr>
          <w:rFonts w:ascii="Times New Roman" w:cs="Times New Roman" w:eastAsia="Times New Roman" w:hAnsi="Times New Roman"/>
          <w:sz w:val="18"/>
          <w:szCs w:val="18"/>
          <w:color w:val="auto"/>
        </w:rPr>
        <w:t>: The Company’s common stock is traded on the NASDAQ Global Select Market and is valued using the closing price on the last day of the Plan year. (Level 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Plan’s financial instruments that are measured at fair value on a recurring basis at December 31, 2021 and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2"/>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 Identical</w:t>
            </w: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12"/>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7"/>
        </w:trPr>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20" w:type="dxa"/>
            <w:vAlign w:val="bottom"/>
          </w:tcPr>
          <w:p>
            <w:pPr>
              <w:spacing w:after="0"/>
              <w:rPr>
                <w:sz w:val="18"/>
                <w:szCs w:val="18"/>
                <w:color w:val="auto"/>
              </w:rPr>
            </w:pPr>
          </w:p>
        </w:tc>
        <w:tc>
          <w:tcPr>
            <w:tcW w:w="14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138,964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138,964</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140,528</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Renasant Corporation common stock</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25,961</w:t>
            </w:r>
          </w:p>
        </w:tc>
      </w:tr>
      <w:tr>
        <w:trPr>
          <w:trHeight w:val="234"/>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305,453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305,453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115,570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115,570</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Separately managed accounts</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123,870</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Renasant Corporation common stock</w:t>
            </w: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25,742</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265,182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265,182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between levels of the fair value hierarchy are reported at the beginning of the reporting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SCHEDULE</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1413" w:right="1440" w:bottom="1440" w:gutter="0" w:footer="0" w:header="0"/>
          <w:type w:val="continuous"/>
        </w:sectPr>
      </w:pPr>
    </w:p>
    <w:bookmarkStart w:id="10" w:name="page11"/>
    <w:bookmarkEnd w:id="10"/>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39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(b) Identity of issuer, borrower, lessor or similar party</w:t>
            </w:r>
          </w:p>
        </w:tc>
        <w:tc>
          <w:tcPr>
            <w:tcW w:w="4620" w:type="dxa"/>
            <w:vAlign w:val="bottom"/>
            <w:tcBorders>
              <w:top w:val="single" w:sz="8" w:color="auto"/>
            </w:tcBorders>
          </w:tcPr>
          <w:p>
            <w:pPr>
              <w:ind w:left="42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22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rPr>
              <w:t>(d) Cost</w:t>
            </w: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2"/>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220" w:type="dxa"/>
            <w:vAlign w:val="bottom"/>
            <w:tcBorders>
              <w:bottom w:val="single" w:sz="8" w:color="auto"/>
            </w:tcBorders>
            <w:gridSpan w:val="2"/>
            <w:vMerge w:val="continue"/>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Equity and fixed income mutual funds</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Baird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Columbia</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Small Cap Growth 13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3"/>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Institutional High Yield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0" w:type="dxa"/>
            <w:vAlign w:val="bottom"/>
          </w:tcPr>
          <w:p>
            <w:pPr>
              <w:spacing w:after="0"/>
              <w:rPr>
                <w:sz w:val="1"/>
                <w:szCs w:val="1"/>
                <w:color w:val="auto"/>
              </w:rPr>
            </w:pPr>
          </w:p>
        </w:tc>
      </w:tr>
      <w:tr>
        <w:trPr>
          <w:trHeight w:val="229"/>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Small Cap FD R6FKALX</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0" w:type="dxa"/>
            <w:vAlign w:val="bottom"/>
          </w:tcPr>
          <w:p>
            <w:pPr>
              <w:spacing w:after="0"/>
              <w:rPr>
                <w:sz w:val="1"/>
                <w:szCs w:val="1"/>
                <w:color w:val="auto"/>
              </w:rPr>
            </w:pPr>
          </w:p>
        </w:tc>
      </w:tr>
      <w:tr>
        <w:trPr>
          <w:trHeight w:val="230"/>
        </w:trPr>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Hartford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Dividend and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Oppenheimer</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International Small-Mid Co Y</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International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Equity Income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Undiscovered MGRS Behavioral Value 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Metropolitan West</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Return Bond - 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Mid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Blue Chip Growth</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Emerging Markets Stock I</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Developed Markets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Large Cap Index Admiral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Mid Cap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Small Cap Index Fund Admiral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Intl Stock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 MRK Index Admiral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17,036</w:t>
            </w:r>
          </w:p>
        </w:tc>
        <w:tc>
          <w:tcPr>
            <w:tcW w:w="0" w:type="dxa"/>
            <w:vAlign w:val="bottom"/>
          </w:tcPr>
          <w:p>
            <w:pPr>
              <w:spacing w:after="0"/>
              <w:rPr>
                <w:sz w:val="1"/>
                <w:szCs w:val="1"/>
                <w:color w:val="auto"/>
              </w:rPr>
            </w:pPr>
          </w:p>
        </w:tc>
      </w:tr>
      <w:tr>
        <w:trPr>
          <w:trHeight w:val="246"/>
        </w:trPr>
        <w:tc>
          <w:tcPr>
            <w:tcW w:w="560" w:type="dxa"/>
            <w:vAlign w:val="bottom"/>
            <w:tcBorders>
              <w:bottom w:val="single" w:sz="8" w:color="CCEEFF"/>
            </w:tcBorders>
          </w:tcPr>
          <w:p>
            <w:pPr>
              <w:spacing w:after="0"/>
              <w:rPr>
                <w:sz w:val="21"/>
                <w:szCs w:val="21"/>
                <w:color w:val="auto"/>
              </w:rPr>
            </w:pPr>
          </w:p>
        </w:tc>
        <w:tc>
          <w:tcPr>
            <w:tcW w:w="228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46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138,964</w:t>
            </w:r>
          </w:p>
        </w:tc>
        <w:tc>
          <w:tcPr>
            <w:tcW w:w="0" w:type="dxa"/>
            <w:vAlign w:val="bottom"/>
          </w:tcPr>
          <w:p>
            <w:pPr>
              <w:spacing w:after="0"/>
              <w:rPr>
                <w:sz w:val="1"/>
                <w:szCs w:val="1"/>
                <w:color w:val="auto"/>
              </w:rPr>
            </w:pPr>
          </w:p>
        </w:tc>
      </w:tr>
      <w:tr>
        <w:trPr>
          <w:trHeight w:val="250"/>
        </w:trPr>
        <w:tc>
          <w:tcPr>
            <w:tcW w:w="560" w:type="dxa"/>
            <w:vAlign w:val="bottom"/>
            <w:tcBorders>
              <w:bottom w:val="single" w:sz="8" w:color="CCEEFF"/>
            </w:tcBorders>
          </w:tcPr>
          <w:p>
            <w:pPr>
              <w:spacing w:after="0"/>
              <w:rPr>
                <w:sz w:val="21"/>
                <w:szCs w:val="21"/>
                <w:color w:val="auto"/>
              </w:rPr>
            </w:pPr>
          </w:p>
        </w:tc>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Separately managed accounts (fund of funds)</w:t>
            </w:r>
          </w:p>
        </w:tc>
        <w:tc>
          <w:tcPr>
            <w:tcW w:w="46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9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Income Account:</w:t>
            </w:r>
          </w:p>
        </w:tc>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tcPr>
          <w:p>
            <w:pPr>
              <w:spacing w:after="0" w:line="20" w:lineRule="exact"/>
              <w:rPr>
                <w:sz w:val="1"/>
                <w:szCs w:val="1"/>
                <w:color w:val="auto"/>
              </w:rPr>
            </w:pPr>
          </w:p>
        </w:tc>
        <w:tc>
          <w:tcPr>
            <w:tcW w:w="22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Baird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Calamos Timpani</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Institutional High Yield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Hartford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Dividend &amp;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Mid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Oppenheimer</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International Small-Mid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748"/>
        </w:trPr>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39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(b) Identity of issuer, borrower, lessor or similar party</w:t>
            </w:r>
          </w:p>
        </w:tc>
        <w:tc>
          <w:tcPr>
            <w:tcW w:w="4620" w:type="dxa"/>
            <w:vAlign w:val="bottom"/>
            <w:tcBorders>
              <w:top w:val="single" w:sz="8" w:color="auto"/>
            </w:tcBorders>
          </w:tcPr>
          <w:p>
            <w:pPr>
              <w:ind w:left="42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06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(d) Cost</w:t>
            </w:r>
          </w:p>
        </w:tc>
        <w:tc>
          <w:tcPr>
            <w:tcW w:w="110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2"/>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Pimco</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Janus Henderson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International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Blue Chip Growth Inv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Markets Stock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Schwab</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Real Estate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Western Asset</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Bond IS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Renasant Bank Income Fund</w:t>
            </w:r>
          </w:p>
        </w:tc>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0" w:type="dxa"/>
            <w:vAlign w:val="bottom"/>
          </w:tcPr>
          <w:p>
            <w:pPr>
              <w:spacing w:after="0"/>
              <w:rPr>
                <w:sz w:val="1"/>
                <w:szCs w:val="1"/>
                <w:color w:val="auto"/>
              </w:rPr>
            </w:pPr>
          </w:p>
        </w:tc>
      </w:tr>
      <w:tr>
        <w:trPr>
          <w:trHeight w:val="259"/>
        </w:trPr>
        <w:tc>
          <w:tcPr>
            <w:tcW w:w="560" w:type="dxa"/>
            <w:vAlign w:val="bottom"/>
            <w:shd w:val="clear" w:color="auto" w:fill="CCEEFF"/>
          </w:tcPr>
          <w:p>
            <w:pPr>
              <w:spacing w:after="0"/>
              <w:rPr>
                <w:sz w:val="22"/>
                <w:szCs w:val="22"/>
                <w:color w:val="auto"/>
              </w:rPr>
            </w:pPr>
          </w:p>
        </w:tc>
        <w:tc>
          <w:tcPr>
            <w:tcW w:w="32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39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Conservative Growth Account:</w:t>
            </w:r>
          </w:p>
        </w:tc>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Baird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Calamos Timpani</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Institutional High Yield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Hartford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Dividend &amp;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Mid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Oppenheimer</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International Small-Mid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Pimco</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Janus Henderson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International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Blue Chip Growth Inv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Markets Stock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390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(b) Identity of issuer, borrower, lessor or similar party</w:t>
            </w:r>
          </w:p>
        </w:tc>
        <w:tc>
          <w:tcPr>
            <w:tcW w:w="4620" w:type="dxa"/>
            <w:vAlign w:val="bottom"/>
            <w:tcBorders>
              <w:top w:val="single" w:sz="8" w:color="auto"/>
            </w:tcBorders>
          </w:tcPr>
          <w:p>
            <w:pPr>
              <w:ind w:left="42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06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(d) Cost</w:t>
            </w:r>
          </w:p>
        </w:tc>
        <w:tc>
          <w:tcPr>
            <w:tcW w:w="110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3"/>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Schwab</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Real Estate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Western Asset</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Bond IS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Renasant Bank Conservative Growth Plan</w:t>
            </w:r>
          </w:p>
        </w:tc>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79,835</w:t>
            </w:r>
          </w:p>
        </w:tc>
        <w:tc>
          <w:tcPr>
            <w:tcW w:w="0" w:type="dxa"/>
            <w:vAlign w:val="bottom"/>
          </w:tcPr>
          <w:p>
            <w:pPr>
              <w:spacing w:after="0"/>
              <w:rPr>
                <w:sz w:val="1"/>
                <w:szCs w:val="1"/>
                <w:color w:val="auto"/>
              </w:rPr>
            </w:pPr>
          </w:p>
        </w:tc>
      </w:tr>
      <w:tr>
        <w:trPr>
          <w:trHeight w:val="259"/>
        </w:trPr>
        <w:tc>
          <w:tcPr>
            <w:tcW w:w="56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9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Moderate Growth Account:</w:t>
            </w:r>
          </w:p>
        </w:tc>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Baird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Calamos Timpani</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Institutional High Yield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Hartford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Dividend &amp;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Mid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Oppenheimer</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International Small-Mid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Pimco</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Janus Henderson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International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Blue Chip Growth Inv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Markets Stock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Schwab</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Real Estate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Western Asset</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Bond IS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Renasant Bank Moderate Growth Plan</w:t>
            </w:r>
          </w:p>
        </w:tc>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21,945</w:t>
            </w:r>
          </w:p>
        </w:tc>
        <w:tc>
          <w:tcPr>
            <w:tcW w:w="0" w:type="dxa"/>
            <w:vAlign w:val="bottom"/>
          </w:tcPr>
          <w:p>
            <w:pPr>
              <w:spacing w:after="0"/>
              <w:rPr>
                <w:sz w:val="1"/>
                <w:szCs w:val="1"/>
                <w:color w:val="auto"/>
              </w:rPr>
            </w:pPr>
          </w:p>
        </w:tc>
      </w:tr>
      <w:tr>
        <w:trPr>
          <w:trHeight w:val="259"/>
        </w:trPr>
        <w:tc>
          <w:tcPr>
            <w:tcW w:w="56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39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Growth Account:</w:t>
            </w:r>
          </w:p>
        </w:tc>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Baird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Calamos Timpani</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RENASANT BANK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39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(b) Identity of issuer, borrower, lessor or similar party</w:t>
            </w:r>
          </w:p>
        </w:tc>
        <w:tc>
          <w:tcPr>
            <w:tcW w:w="4620" w:type="dxa"/>
            <w:vAlign w:val="bottom"/>
            <w:tcBorders>
              <w:top w:val="single" w:sz="8" w:color="auto"/>
            </w:tcBorders>
          </w:tcPr>
          <w:p>
            <w:pPr>
              <w:ind w:left="42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06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(d) Cost</w:t>
            </w:r>
          </w:p>
        </w:tc>
        <w:tc>
          <w:tcPr>
            <w:tcW w:w="110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60" w:type="dxa"/>
            <w:vAlign w:val="bottom"/>
            <w:tcBorders>
              <w:bottom w:val="single" w:sz="8" w:color="auto"/>
            </w:tcBorders>
            <w:vMerge w:val="continue"/>
          </w:tcPr>
          <w:p>
            <w:pPr>
              <w:spacing w:after="0"/>
              <w:rPr>
                <w:sz w:val="18"/>
                <w:szCs w:val="18"/>
                <w:color w:val="auto"/>
              </w:rPr>
            </w:pPr>
          </w:p>
        </w:tc>
        <w:tc>
          <w:tcPr>
            <w:tcW w:w="3900" w:type="dxa"/>
            <w:vAlign w:val="bottom"/>
            <w:tcBorders>
              <w:bottom w:val="single" w:sz="8" w:color="auto"/>
            </w:tcBorders>
            <w:gridSpan w:val="2"/>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5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Institutional High Yield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Hartford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Dividend &amp;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Mid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Oppenheimer</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International Small-Mid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Pimco</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Janus Henderson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Hancock</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International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Blue Chip Growth Inv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Markets Stock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Schwab</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Real Estate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Western Asset</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Bond IS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Renasant Bank Growth Plan</w:t>
            </w:r>
          </w:p>
        </w:tc>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0" w:type="dxa"/>
            <w:vAlign w:val="bottom"/>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39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Renasant Bank Aggressive Growth Account:</w:t>
            </w:r>
          </w:p>
        </w:tc>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Baird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Plus Bond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Calamos Timpani</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Small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Government Obligation Premier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Institutional High Yield Bond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Return Bond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Eagle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Hartford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Dividend &amp;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Mid Cap Growth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MFS</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Mid Cap Value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Oppenheimer</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International Small-Mid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Pimco</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Institutional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Janus Henderson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Global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RENASANT BANK</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401(k) Plan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Employer Identification Number 64-0220550</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Schedule H, Line 4i – Schedule of Assets (Held At End of Year)</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6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400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(b) Identity of issuer, borrower, lessor or similar party</w:t>
            </w:r>
          </w:p>
        </w:tc>
        <w:tc>
          <w:tcPr>
            <w:tcW w:w="4620" w:type="dxa"/>
            <w:vAlign w:val="bottom"/>
            <w:tcBorders>
              <w:top w:val="single" w:sz="8" w:color="auto"/>
            </w:tcBorders>
          </w:tcPr>
          <w:p>
            <w:pPr>
              <w:ind w:left="420"/>
              <w:spacing w:after="0" w:line="175" w:lineRule="exact"/>
              <w:rPr>
                <w:sz w:val="20"/>
                <w:szCs w:val="20"/>
                <w:color w:val="auto"/>
              </w:rPr>
            </w:pPr>
            <w:r>
              <w:rPr>
                <w:rFonts w:ascii="Times New Roman" w:cs="Times New Roman" w:eastAsia="Times New Roman" w:hAnsi="Times New Roman"/>
                <w:sz w:val="16"/>
                <w:szCs w:val="16"/>
                <w:color w:val="auto"/>
              </w:rPr>
              <w:t>(c) Description of investment including maturity date, rate of</w:t>
            </w:r>
          </w:p>
        </w:tc>
        <w:tc>
          <w:tcPr>
            <w:tcW w:w="1060" w:type="dxa"/>
            <w:vAlign w:val="bottom"/>
            <w:tcBorders>
              <w:top w:val="single" w:sz="8" w:color="auto"/>
            </w:tcBorders>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rPr>
              <w:t>(d) Cost</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46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vMerge w:val="continue"/>
          </w:tcPr>
          <w:p>
            <w:pPr>
              <w:spacing w:after="0"/>
              <w:rPr>
                <w:sz w:val="18"/>
                <w:szCs w:val="18"/>
                <w:color w:val="auto"/>
              </w:rPr>
            </w:pPr>
          </w:p>
        </w:tc>
        <w:tc>
          <w:tcPr>
            <w:tcW w:w="4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c>
          <w:tcPr>
            <w:tcW w:w="1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37"/>
        </w:trPr>
        <w:tc>
          <w:tcPr>
            <w:tcW w:w="460" w:type="dxa"/>
            <w:vAlign w:val="bottom"/>
          </w:tcPr>
          <w:p>
            <w:pPr>
              <w:spacing w:after="0"/>
              <w:rPr>
                <w:sz w:val="3"/>
                <w:szCs w:val="3"/>
                <w:color w:val="auto"/>
              </w:rPr>
            </w:pPr>
          </w:p>
        </w:tc>
        <w:tc>
          <w:tcPr>
            <w:tcW w:w="400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John Hancock</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International Growth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Global Bond Opportunities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Growth Advantage R6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Hedged Equity R6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Undiscovered Mgrs Behavioral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Blue Chip Growth Inv</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Emerging Markets Stock I</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Schwab</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Treasury Inflation Report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Developed Markets Index Admiral Class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Large Cap Index Admiral Class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Real Estate Index Admiral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spacing w:after="0"/>
              <w:rPr>
                <w:sz w:val="19"/>
                <w:szCs w:val="19"/>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Western Asset</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Core Bond IS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63"/>
        </w:trPr>
        <w:tc>
          <w:tcPr>
            <w:tcW w:w="460" w:type="dxa"/>
            <w:vAlign w:val="bottom"/>
            <w:tcBorders>
              <w:bottom w:val="single" w:sz="8" w:color="CCEEFF"/>
            </w:tcBorders>
          </w:tcPr>
          <w:p>
            <w:pPr>
              <w:spacing w:after="0"/>
              <w:rPr>
                <w:sz w:val="22"/>
                <w:szCs w:val="22"/>
                <w:color w:val="auto"/>
              </w:rPr>
            </w:pPr>
          </w:p>
        </w:tc>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Renasant Bank Aggressive Growth Plan</w:t>
            </w:r>
          </w:p>
        </w:tc>
        <w:tc>
          <w:tcPr>
            <w:tcW w:w="462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14,823</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tcPr>
          <w:p>
            <w:pPr>
              <w:spacing w:after="0"/>
              <w:rPr>
                <w:sz w:val="21"/>
                <w:szCs w:val="21"/>
                <w:color w:val="auto"/>
              </w:rPr>
            </w:pPr>
          </w:p>
        </w:tc>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Separately managed accounts (fund of funds)</w:t>
            </w:r>
          </w:p>
        </w:tc>
        <w:tc>
          <w:tcPr>
            <w:tcW w:w="46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140,528</w:t>
            </w:r>
          </w:p>
        </w:tc>
        <w:tc>
          <w:tcPr>
            <w:tcW w:w="0" w:type="dxa"/>
            <w:vAlign w:val="bottom"/>
          </w:tcPr>
          <w:p>
            <w:pPr>
              <w:spacing w:after="0"/>
              <w:rPr>
                <w:sz w:val="1"/>
                <w:szCs w:val="1"/>
                <w:color w:val="auto"/>
              </w:rPr>
            </w:pPr>
          </w:p>
        </w:tc>
      </w:tr>
      <w:tr>
        <w:trPr>
          <w:trHeight w:val="215"/>
        </w:trPr>
        <w:tc>
          <w:tcPr>
            <w:tcW w:w="4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Common stock fund</w:t>
            </w:r>
          </w:p>
        </w:tc>
        <w:tc>
          <w:tcPr>
            <w:tcW w:w="46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Renasant Corporation</w:t>
            </w:r>
          </w:p>
        </w:tc>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Common Stock</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25,961</w:t>
            </w:r>
          </w:p>
        </w:tc>
        <w:tc>
          <w:tcPr>
            <w:tcW w:w="0" w:type="dxa"/>
            <w:vAlign w:val="bottom"/>
          </w:tcPr>
          <w:p>
            <w:pPr>
              <w:spacing w:after="0"/>
              <w:rPr>
                <w:sz w:val="1"/>
                <w:szCs w:val="1"/>
                <w:color w:val="auto"/>
              </w:rPr>
            </w:pPr>
          </w:p>
        </w:tc>
      </w:tr>
      <w:tr>
        <w:trPr>
          <w:trHeight w:val="54"/>
        </w:trPr>
        <w:tc>
          <w:tcPr>
            <w:tcW w:w="460" w:type="dxa"/>
            <w:vAlign w:val="bottom"/>
          </w:tcPr>
          <w:p>
            <w:pPr>
              <w:spacing w:after="0"/>
              <w:rPr>
                <w:sz w:val="4"/>
                <w:szCs w:val="4"/>
                <w:color w:val="auto"/>
              </w:rPr>
            </w:pPr>
          </w:p>
        </w:tc>
        <w:tc>
          <w:tcPr>
            <w:tcW w:w="400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Receivables</w:t>
            </w:r>
          </w:p>
        </w:tc>
        <w:tc>
          <w:tcPr>
            <w:tcW w:w="4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Company Contributions</w:t>
            </w:r>
          </w:p>
        </w:tc>
        <w:tc>
          <w:tcPr>
            <w:tcW w:w="4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Company's matching and nondiscretionary contribution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0" w:type="dxa"/>
            <w:vAlign w:val="bottom"/>
          </w:tcPr>
          <w:p>
            <w:pPr>
              <w:spacing w:after="0"/>
              <w:rPr>
                <w:sz w:val="1"/>
                <w:szCs w:val="1"/>
                <w:color w:val="auto"/>
              </w:rPr>
            </w:pPr>
          </w:p>
        </w:tc>
      </w:tr>
      <w:tr>
        <w:trPr>
          <w:trHeight w:val="219"/>
        </w:trPr>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Participant Contributions</w:t>
            </w:r>
          </w:p>
        </w:tc>
        <w:tc>
          <w:tcPr>
            <w:tcW w:w="4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Participant contributions made in 2022 earned in 2021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62"/>
        </w:trPr>
        <w:tc>
          <w:tcPr>
            <w:tcW w:w="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0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Notes Receivable from Participants</w:t>
            </w:r>
          </w:p>
        </w:tc>
        <w:tc>
          <w:tcPr>
            <w:tcW w:w="462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Range of interest rates from 3.50% to 6.50% with maturity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dates through 2031</w:t>
            </w:r>
          </w:p>
        </w:tc>
        <w:tc>
          <w:tcPr>
            <w:tcW w:w="10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vMerge w:val="continue"/>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7"/>
                <w:szCs w:val="17"/>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Total assets (held at end of year)</w:t>
            </w:r>
          </w:p>
        </w:tc>
        <w:tc>
          <w:tcPr>
            <w:tcW w:w="4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314,084</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20" w:hanging="213"/>
        <w:spacing w:after="0"/>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allocation plan administered by Renasant Trust Division-not a registered equity mutual fund under the Investment Company Act of 1940, as amended.</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party-in-interest.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Cost information has been omitted for participant-directed investments.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80"/>
          </w:cols>
          <w:pgMar w:left="280" w:top="1440"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duly caused this Annual Report on Form 11-K to be signed on its behalf by the undersigned hereunto duly authorized.</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RENASANT BANK 401(k) PLAN</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2022</w:t>
            </w:r>
          </w:p>
        </w:tc>
        <w:tc>
          <w:tcPr>
            <w:tcW w:w="5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by:/s/ Leslie Barry</w:t>
            </w:r>
          </w:p>
        </w:tc>
      </w:tr>
      <w:tr>
        <w:trPr>
          <w:trHeight w:val="218"/>
        </w:trPr>
        <w:tc>
          <w:tcPr>
            <w:tcW w:w="3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Leslie Barry</w:t>
            </w:r>
          </w:p>
        </w:tc>
      </w:tr>
      <w:tr>
        <w:trPr>
          <w:trHeight w:val="230"/>
        </w:trPr>
        <w:tc>
          <w:tcPr>
            <w:tcW w:w="3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3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13"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4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24"/>
                <w:szCs w:val="24"/>
                <w:color w:val="auto"/>
              </w:rPr>
            </w:pPr>
          </w:p>
        </w:tc>
        <w:tc>
          <w:tcPr>
            <w:tcW w:w="9140" w:type="dxa"/>
            <w:vAlign w:val="bottom"/>
            <w:gridSpan w:val="2"/>
            <w:vMerge w:val="restart"/>
          </w:tcPr>
          <w:p>
            <w:pPr>
              <w:ind w:left="422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93"/>
        </w:trPr>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9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3"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333-104445, 333-122514, 333-150355, 333-197555) on Form S-8 of Renasant Corporation for Renasant Bank 401(k) Plan, of our report dated June 24, 2022, relating to our audit of the financial statements and supplemental schedule of Renasant Bank 401(k) Plan, which appears in this Annual Report on Form 11-K of Renasant Bank 401(k) Plan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HORNE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2022-06-24T10:57:05Z</dcterms:created>
  <dcterms:modified xsi:type="dcterms:W3CDTF">2022-06-24T10:57:05Z</dcterms:modified>
</cp:coreProperties>
</file>