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4,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RENASANT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Mississippi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001-13253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64-0676974</w:t>
      </w:r>
    </w:p>
    <w:p>
      <w:pPr>
        <w:spacing w:after="0" w:line="23"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spacing w:after="0" w:line="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209 Troy Street, Tupelo, Mississippi 38804-4827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(662) 680-1001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May 4, 2026, Renasant Corporation (the “Company”) entered into an underwriting agreement (the “Underwriting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Keefe, Bruyette &amp; Woods, Inc. and Stephens Inc., as representatives of the underwriters listed on Schedule I to the Underwriting Agreement, for the issuance and sale of $300 million aggregate principal amount of its 6.25% Fixed-to-Floating Rate Subordinated Notes due 2036 (the “Notes”), at a public offering price equal to 100% of the aggregate principal amount of the Notes.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offering of the Notes closed on May 7, 2026. The net proceeds from the sale of the Notes to the Company were approximately $295.7 million, after deducting underwriting discounts and estimated expenses. The Company intends to use the net proceeds from the offering of the Notes for general corporate purposes, including the potential redemption of $40 million aggregate principal amount outstanding of its 5.50% Fixed-to-Floating Rate Subordinated Notes due September 1, 2031.</w:t>
      </w:r>
    </w:p>
    <w:p>
      <w:pPr>
        <w:spacing w:after="0" w:line="18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Notes were sold pursuant to the Company’s registration statement on Form S-3ASR (File No. 333-284828) (the “Registration Statement”) filed with the Securities and Exchange Commission (the “SEC”) on February 11, 2025, and were offered to the public pursuant to a prospectus supplement, dated May 4, 2026, supplementing the prospectus, dated February 11, 2025, which is contained in and forms a part of the Registration Statement.</w:t>
      </w:r>
    </w:p>
    <w:p>
      <w:pPr>
        <w:spacing w:after="0" w:line="18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contains representations, warranties and covenants customary in agreements of this type. These representations, warranties and covenants are not representations of factual information to investors about the Company or its subsidiaries, and the sale of the Notes is not a representation that there has not been any change in the condition of the Company. The Company also agreed to indemnify the underwriters against certain liabilities arising out of or in connection with the sale of the Notes.</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complete text of the Underwriting Agreement, a copy of which is attached as Exhibit 1.1 to this Current Report on Form 8-K and incorporated herein by reference.</w:t>
      </w:r>
    </w:p>
    <w:p>
      <w:pPr>
        <w:spacing w:after="0" w:line="158"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Indenture and Notes</w:t>
      </w:r>
      <w:r>
        <w:rPr>
          <w:rFonts w:ascii="Times New Roman" w:cs="Times New Roman" w:eastAsia="Times New Roman" w:hAnsi="Times New Roman"/>
          <w:sz w:val="18"/>
          <w:szCs w:val="18"/>
          <w:color w:val="auto"/>
        </w:rPr>
        <w:t>. The Notes have been issued under a Subordinated Indenture dated as of August 22, 2016 (the “Base Indenture”) by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the Company and Wilmington Trust, National Association, as trustee (the “Trustee”), as supplemented by that certain Fifth Supplemental Indenture dated as of May 7, 2026, between the Company and the Trustee (the “Fifth Supplemental Indenture” and together with the Base Indenture, as previously supplemented, the “Indenture”). The terms of the Notes are set forth in, and such Notes are governed by, the Base Indenture and the Fifth Supplemental Indenture.</w:t>
      </w:r>
    </w:p>
    <w:p>
      <w:pPr>
        <w:spacing w:after="0" w:line="183"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The Notes will mature on June 1, 2036. From and including May 7, 2026, to but excluding June 1, 2031 or the date of earlier redemption, the Company will pay interest on the Notes semi-annually in arrears on each June 1 and December 1 commencing December 1, 2026, at a fixed annual interest rate equal to 6.25%. From and including June 1, 2031, to, but excluding the maturity date or earlier redemption date of the Notes, the Company will pay interest on the Notes at a floating per annum rate equal to a Benchmark rate (which is expected to be Three-Month Term SOFR) (each as defined in the Indenture), plus 245 basis points, payable quarterly in arrears on each March 1, June 1, September 1 and December 1 commencing on September 1, 2031; provided, however, that in the event the Benchmark rate is less than zero, the Benchmark rate shall be deemed to be zero.</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may, beginning with the interest payment date of June 1, 2031, and on any interest payment date thereafter, redeem the Notes, in whole or in part, from time to time, subject to obtaining the prior approval of the Board of Governors of the Federal Reserve System (the “Federal Reserve”) (or, as and if applicable, the rules of any appropriate successor bank regulatory agency) to the extent such approval is then required under the rules of the Federal Reserve (or such successor bank regulatory agency), at a redemption price equal to 100% of the principal amount of the Notes being redeemed plus accrued and unpaid interest to, but excluding, the date of redemption. The Company may also redeem the Notes at any time prior to their maturity, including prior to June 1, 2031, in whole, but not in part, subject to obtaining the prior approval of the Federal Reserve (or, as and if applicable, the rules of any appropriate successor bank regulatory agency) to the extent such approval is then required under rules of the Federal</w:t>
      </w:r>
    </w:p>
    <w:p>
      <w:pPr>
        <w:sectPr>
          <w:pgSz w:w="11900" w:h="16838" w:orient="portrait"/>
          <w:cols w:equalWidth="0" w:num="1">
            <w:col w:w="11020"/>
          </w:cols>
          <w:pgMar w:left="440" w:top="293" w:right="439" w:bottom="1440" w:gutter="0" w:footer="0" w:header="0"/>
        </w:sectPr>
      </w:pPr>
    </w:p>
    <w:bookmarkStart w:id="2" w:name="page3"/>
    <w:bookmarkEnd w:id="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Reserve (or such successor bank regulatory agency), if (i) a change or prospective change in law occurs that could prevent us from deducting interest payable on the Notes for U.S. federal income tax purposes, (ii) a subsequent event occurs that could preclude the Notes from being recognized as Tier 2 Capital for regulatory capital purposes, or (iii) the Company is required to register as an investment company under the Investment Company Act of 1940, as amended, in each case, at a redemption price equal to 100% of the principal amount of the Notes plus any accrued and unpaid interest to, but excluding, the redemption date. There is no sinking fund for the benefit of the Notes, and the Notes are not convertible into, or exchangeable for, equity securities, other securities, or assets or property of the Company or its subsidiaries.</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There is no automatic acceleration, or right of acceleration, in the case of default in the payment of principal of, premium, if any, or interest on the Notes, or in the performance of any of the Company’s other obligations under the Notes or the Indenture. The Indenture provides that holders of the Notes may accelerate payment of indebtedness only upon the Company’s or Renasant Bank’s insolvency, receivership, conservatorship, reorganization or similar proceedings, or if there is a liquidation or winding up of the Company’s business.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Notes are the unsecured, subordinated obligations of the Company and rank (i) junior in right of payment and upon the Company’s liquidation to any of the Company’s existing and all future Senior Indebtedness (as defined in the Indenture); (ii) junior in right of payment and upon the Company’s liquidation to any of the Company’s existing and all of its future general creditors; (iii) equal in right of payment and upon the Company’s liquidation with any of the Company’s existing and all of its future indebtedness the terms of which provide that such indebtedness ranks equally with the Notes and (iv) senior in right of payment and upon the Company’s liquidation to any of the Company’s existing junior subordinated debentures and any of its future indebtedness the terms of which provide that such indebtedness ranks junior in right of payment to note indebtedness such as the Notes. The Notes are effectively subordinated to the Company’s future secured indebtedness to the extent of the value of the collateral securing such indebtedness, and structurally subordinated to the existing and future indebtedness of the Company’s subsidiaries, including, without limitation, depositors of Renasant Bank, liabilities to general creditors and liabilities arising in the ordinary course of business or otherwise.</w:t>
      </w:r>
    </w:p>
    <w:p>
      <w:pPr>
        <w:spacing w:after="0" w:line="18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Base Indenture, the Fifth Supplemental Indenture and the Notes are not complete and are each qualified in their entirety by reference to the complete text of the Fifth Supplemental Indenture and the form of Note, copies of which are attached as Exhibits 4.2 and 4.3, respectively, to this Current Report on Form 8-K and incorporated herein by reference and the Base Indenture, which is incorporated herein by reference as Exhibit 4.1 hereto.</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May 4, 2026, the Company issued a press release announcing the pricing of its offering of the Notes, which is furnished hereto as Exhibit 99.1.</w:t>
      </w:r>
    </w:p>
    <w:p>
      <w:pPr>
        <w:spacing w:after="0" w:line="237"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Exhibits hereto, shall not constitute an offer to sell or the solicitation of an offer to buy, nor shall there be any sale of the Notes, in any state or jurisdiction in which such offer, solicitation or sale would be unlawful prior to registration or qualification under the securities laws of such jurisdiction. Any offering of the Notes is being made only by means of a written prospectus meeting the requirements of Section 10 of the Securities Act.</w:t>
      </w:r>
    </w:p>
    <w:p>
      <w:pPr>
        <w:sectPr>
          <w:pgSz w:w="11900" w:h="16838" w:orient="portrait"/>
          <w:cols w:equalWidth="0" w:num="1">
            <w:col w:w="11000"/>
          </w:cols>
          <w:pgMar w:left="440" w:top="297"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tc>
        <w:tc>
          <w:tcPr>
            <w:tcW w:w="4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4180" w:type="dxa"/>
            <w:vAlign w:val="bottom"/>
            <w:vMerge w:val="restart"/>
          </w:tcPr>
          <w:p>
            <w:pPr>
              <w:spacing w:after="0"/>
              <w:rPr>
                <w:sz w:val="24"/>
                <w:szCs w:val="24"/>
                <w:color w:val="auto"/>
              </w:rPr>
            </w:pP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68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844" w:right="460" w:hanging="844"/>
        <w:spacing w:after="0" w:line="282"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May 4, 2026, between Renasant Corporation and Keefe, Bruyette &amp; Woods, Inc. and Stephens Inc., as representatives of the underwriters named therein.</w:t>
      </w:r>
    </w:p>
    <w:p>
      <w:pPr>
        <w:spacing w:after="0" w:line="53" w:lineRule="exact"/>
        <w:rPr>
          <w:rFonts w:ascii="Times New Roman" w:cs="Times New Roman" w:eastAsia="Times New Roman" w:hAnsi="Times New Roman"/>
          <w:sz w:val="18"/>
          <w:szCs w:val="18"/>
          <w:color w:val="auto"/>
        </w:rPr>
      </w:pPr>
    </w:p>
    <w:p>
      <w:pPr>
        <w:ind w:left="844" w:right="340" w:hanging="844"/>
        <w:spacing w:after="0" w:line="312" w:lineRule="auto"/>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hyperlink r:id="rId20">
        <w:r>
          <w:rPr>
            <w:rFonts w:ascii="Times New Roman" w:cs="Times New Roman" w:eastAsia="Times New Roman" w:hAnsi="Times New Roman"/>
            <w:sz w:val="17"/>
            <w:szCs w:val="17"/>
            <w:u w:val="single" w:color="auto"/>
            <w:color w:val="0000EE"/>
          </w:rPr>
          <w:t>Subordinated Indenture, dated August 22, 2016, between Renasant Corporation and Wilmington Trust, National Association, as Trustee,</w:t>
        </w:r>
      </w:hyperlink>
      <w:r>
        <w:rPr>
          <w:rFonts w:ascii="Times New Roman" w:cs="Times New Roman" w:eastAsia="Times New Roman" w:hAnsi="Times New Roman"/>
          <w:sz w:val="17"/>
          <w:szCs w:val="17"/>
          <w:u w:val="single" w:color="auto"/>
          <w:color w:val="0000EE"/>
        </w:rPr>
        <w:t xml:space="preserve"> </w:t>
      </w:r>
      <w:hyperlink r:id="rId20">
        <w:r>
          <w:rPr>
            <w:rFonts w:ascii="Times New Roman" w:cs="Times New Roman" w:eastAsia="Times New Roman" w:hAnsi="Times New Roman"/>
            <w:sz w:val="17"/>
            <w:szCs w:val="17"/>
            <w:u w:val="single" w:color="auto"/>
            <w:color w:val="0000EE"/>
          </w:rPr>
          <w:t>incorporated herein by reference to Exhibit 4.1 to the Form 8-K of Renasant Corporation filed with the SEC on August 22, 2016.</w:t>
        </w:r>
      </w:hyperlink>
    </w:p>
    <w:p>
      <w:pPr>
        <w:spacing w:after="0" w:line="31" w:lineRule="exact"/>
        <w:rPr>
          <w:rFonts w:ascii="Times New Roman" w:cs="Times New Roman" w:eastAsia="Times New Roman" w:hAnsi="Times New Roman"/>
          <w:sz w:val="17"/>
          <w:szCs w:val="17"/>
          <w:u w:val="single" w:color="auto"/>
          <w:color w:val="0000EE"/>
        </w:rPr>
      </w:pPr>
    </w:p>
    <w:p>
      <w:pPr>
        <w:ind w:left="844" w:right="180" w:hanging="84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21">
        <w:r>
          <w:rPr>
            <w:rFonts w:ascii="Times New Roman" w:cs="Times New Roman" w:eastAsia="Times New Roman" w:hAnsi="Times New Roman"/>
            <w:sz w:val="18"/>
            <w:szCs w:val="18"/>
            <w:u w:val="single" w:color="auto"/>
            <w:color w:val="0000EE"/>
          </w:rPr>
          <w:t>Fifth Supplemental Indenture, dated May 7, 2026, between Renasant Corporation and Wilmington Trust, National Association, as Trustee,</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incorporated herein by reference to Exhibit 4.1 to the Form 10-Q of Renasant Corporation filed with the SEC on May 7, 2026.</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4.3</w:t>
      </w:r>
      <w:hyperlink r:id="rId21">
        <w:r>
          <w:rPr>
            <w:rFonts w:ascii="Times New Roman" w:cs="Times New Roman" w:eastAsia="Times New Roman" w:hAnsi="Times New Roman"/>
            <w:sz w:val="18"/>
            <w:szCs w:val="18"/>
            <w:u w:val="single" w:color="auto"/>
            <w:color w:val="0000EE"/>
          </w:rPr>
          <w:t>Form of 6.25% Fixed-to-Floating Rate Subordinated Note due 2036 (included in Exhibit 4.2).</w:t>
        </w:r>
      </w:hyperlink>
    </w:p>
    <w:p>
      <w:pPr>
        <w:spacing w:after="0" w:line="117"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4.4</w:t>
      </w:r>
      <w:hyperlink r:id="rId22">
        <w:r>
          <w:rPr>
            <w:rFonts w:ascii="Times New Roman" w:cs="Times New Roman" w:eastAsia="Times New Roman" w:hAnsi="Times New Roman"/>
            <w:sz w:val="17"/>
            <w:szCs w:val="17"/>
            <w:u w:val="single" w:color="auto"/>
            <w:color w:val="0000EE"/>
          </w:rPr>
          <w:t>Form T-1 (Statement of Eligibility of Trustee) filed with the SEC on May 4, 2026 (File No. 333-284828) is incorporated herein by reference.</w:t>
        </w:r>
      </w:hyperlink>
    </w:p>
    <w:p>
      <w:pPr>
        <w:spacing w:after="0" w:line="128" w:lineRule="exact"/>
        <w:rPr>
          <w:rFonts w:ascii="Times New Roman" w:cs="Times New Roman" w:eastAsia="Times New Roman" w:hAnsi="Times New Roman"/>
          <w:sz w:val="17"/>
          <w:szCs w:val="17"/>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Phelps Dunbar LLP regarding the legality of the Notes, under Mississippi law.</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w:t>
      </w:r>
      <w:r>
        <w:rPr>
          <w:rFonts w:ascii="Times New Roman" w:cs="Times New Roman" w:eastAsia="Times New Roman" w:hAnsi="Times New Roman"/>
          <w:sz w:val="17"/>
          <w:szCs w:val="17"/>
          <w:u w:val="single" w:color="auto"/>
          <w:color w:val="0000EE"/>
        </w:rPr>
        <w:t>Opinion of Skadden, Arps, Slate, Meagher &amp; Flom LLP regarding the legality of the Notes, under New York law.</w:t>
      </w:r>
    </w:p>
    <w:p>
      <w:pPr>
        <w:spacing w:after="0" w:line="129" w:lineRule="exact"/>
        <w:rPr>
          <w:rFonts w:ascii="Times New Roman" w:cs="Times New Roman" w:eastAsia="Times New Roman" w:hAnsi="Times New Roman"/>
          <w:sz w:val="16"/>
          <w:szCs w:val="16"/>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Phelps Dunbar LLP (included in Exhibit 5.1).</w:t>
      </w:r>
    </w:p>
    <w:p>
      <w:pPr>
        <w:spacing w:after="0" w:line="117" w:lineRule="exact"/>
        <w:rPr>
          <w:rFonts w:ascii="Times New Roman" w:cs="Times New Roman" w:eastAsia="Times New Roman" w:hAnsi="Times New Roman"/>
          <w:sz w:val="16"/>
          <w:szCs w:val="16"/>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Skadden, Arps, Slate, Meagher &amp; Flom LLP (included in Exhibit 5.2).</w:t>
      </w:r>
    </w:p>
    <w:p>
      <w:pPr>
        <w:spacing w:after="0" w:line="117" w:lineRule="exact"/>
        <w:rPr>
          <w:rFonts w:ascii="Times New Roman" w:cs="Times New Roman" w:eastAsia="Times New Roman" w:hAnsi="Times New Roman"/>
          <w:sz w:val="16"/>
          <w:szCs w:val="16"/>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4, 2026.</w:t>
      </w:r>
    </w:p>
    <w:p>
      <w:pPr>
        <w:spacing w:after="0" w:line="117" w:lineRule="exact"/>
        <w:rPr>
          <w:rFonts w:ascii="Times New Roman" w:cs="Times New Roman" w:eastAsia="Times New Roman" w:hAnsi="Times New Roman"/>
          <w:sz w:val="16"/>
          <w:szCs w:val="16"/>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of Renasant’s Form 8-K is formatted in Inline XBRL.</w:t>
      </w:r>
    </w:p>
    <w:p>
      <w:pPr>
        <w:spacing w:after="0" w:line="329"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rFonts w:ascii="Times New Roman" w:cs="Times New Roman" w:eastAsia="Times New Roman" w:hAnsi="Times New Roman"/>
          <w:sz w:val="16"/>
          <w:szCs w:val="16"/>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This report, including the exhibits furnished herewith, may contain, or incorporate by reference, statements about the Company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of future performance and involve risks and uncertainties and, accordingly, investors should not place undue reliance on these forward-looking statements, which speak only as of the date they are made.</w:t>
      </w:r>
    </w:p>
    <w:p>
      <w:pPr>
        <w:spacing w:after="0" w:line="179" w:lineRule="exact"/>
        <w:rPr>
          <w:rFonts w:ascii="Times New Roman" w:cs="Times New Roman" w:eastAsia="Times New Roman" w:hAnsi="Times New Roman"/>
          <w:sz w:val="16"/>
          <w:szCs w:val="16"/>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Important factors currently known to management that could cause our actual results to differ materially from those in forward-looking statements include the following: (i) our ability to efficiently integrate acquisitions into our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we have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our Annual Report on Form 10-K</w:t>
      </w:r>
    </w:p>
    <w:p>
      <w:pPr>
        <w:sectPr>
          <w:pgSz w:w="11900" w:h="16838" w:orient="portrait"/>
          <w:cols w:equalWidth="0" w:num="1">
            <w:col w:w="11004"/>
          </w:cols>
          <w:pgMar w:left="436" w:top="293" w:right="459" w:bottom="1440" w:gutter="0" w:footer="0" w:header="0"/>
        </w:sectPr>
      </w:pPr>
    </w:p>
    <w:bookmarkStart w:id="4" w:name="page5"/>
    <w:bookmarkEnd w:id="4"/>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the fiscal year ended December 1, 2025; (vi) competitive pressures in the consumer finance, commercial finance, financial services, asset management, retail banking, factoring,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our investment portfolio; (xiii) an insufficient allowance for credit losses as a result of inaccurate assumptions;</w:t>
      </w:r>
    </w:p>
    <w:p>
      <w:pPr>
        <w:spacing w:after="0" w:line="1" w:lineRule="exact"/>
        <w:rPr>
          <w:sz w:val="20"/>
          <w:szCs w:val="20"/>
          <w:color w:val="auto"/>
        </w:rPr>
      </w:pPr>
    </w:p>
    <w:p>
      <w:pPr>
        <w:ind w:left="4" w:hanging="4"/>
        <w:spacing w:after="0" w:line="250" w:lineRule="auto"/>
        <w:tabs>
          <w:tab w:leader="none" w:pos="3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sources and costs of the capital we use to make loans and otherwise fund our operations, due to deposit outflows, changes in the mix of deposits and the cost and availability of borrowings; (xv) general economic, market or business conditions, including the impact of inflation;</w:t>
      </w:r>
    </w:p>
    <w:p>
      <w:pPr>
        <w:ind w:left="4" w:right="20" w:hanging="4"/>
        <w:spacing w:after="0" w:line="251" w:lineRule="auto"/>
        <w:tabs>
          <w:tab w:leader="none" w:pos="3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loan and deposit products and other financial services; (xvii) concentrations of deposit or credit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or near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spacing w:after="0" w:line="193"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sectPr>
          <w:pgSz w:w="11900" w:h="16838" w:orient="portrait"/>
          <w:cols w:equalWidth="0" w:num="1">
            <w:col w:w="11004"/>
          </w:cols>
          <w:pgMar w:left="436" w:top="297" w:right="459" w:bottom="1440" w:gutter="0" w:footer="0" w:header="0"/>
        </w:sectPr>
      </w:pP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RENASANT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D.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Kevin D. Chapman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660"/>
          </w:cols>
          <w:pgMar w:left="440" w:top="293" w:right="7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6.25% Fixed to Floating Rate Subordinated Notes due 2036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Stephens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Center Street,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Rock, AR 72201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Renasant Corporation, a Mississippi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confirms its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Keefe, Bruyette &amp; Woods,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w:t>
      </w:r>
      <w:r>
        <w:rPr>
          <w:rFonts w:ascii="Times New Roman" w:cs="Times New Roman" w:eastAsia="Times New Roman" w:hAnsi="Times New Roman"/>
          <w:sz w:val="18"/>
          <w:szCs w:val="18"/>
          <w:b w:val="1"/>
          <w:bCs w:val="1"/>
          <w:color w:val="auto"/>
        </w:rPr>
        <w:t>KBW</w:t>
      </w:r>
      <w:r>
        <w:rPr>
          <w:rFonts w:ascii="Times New Roman" w:cs="Times New Roman" w:eastAsia="Times New Roman" w:hAnsi="Times New Roman"/>
          <w:sz w:val="18"/>
          <w:szCs w:val="18"/>
          <w:color w:val="auto"/>
        </w:rPr>
        <w:t>”) and Stephens Inc. (“</w:t>
      </w:r>
      <w:r>
        <w:rPr>
          <w:rFonts w:ascii="Times New Roman" w:cs="Times New Roman" w:eastAsia="Times New Roman" w:hAnsi="Times New Roman"/>
          <w:sz w:val="18"/>
          <w:szCs w:val="18"/>
          <w:b w:val="1"/>
          <w:bCs w:val="1"/>
          <w:color w:val="auto"/>
        </w:rPr>
        <w:t>Stephens</w:t>
      </w:r>
      <w:r>
        <w:rPr>
          <w:rFonts w:ascii="Times New Roman" w:cs="Times New Roman" w:eastAsia="Times New Roman" w:hAnsi="Times New Roman"/>
          <w:sz w:val="18"/>
          <w:szCs w:val="18"/>
          <w:color w:val="auto"/>
        </w:rPr>
        <w:t xml:space="preserve">”) and each of the other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 shall also include any underwriter substituted as provided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for whom KBW and Stephens are acting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with respect to the issue and sale by the Company and the purchase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and not jointly, of $300,000,000 aggregate principal amount of its 6.25% Fixed to Floating Rate Subordinated Notes due 2036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will be issued in book-entry only form to Cede &amp; Co. as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Letter of Representations, to be dated as of the Closing Time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between the Company and DTC.</w:t>
      </w:r>
    </w:p>
    <w:p>
      <w:pPr>
        <w:spacing w:after="0" w:line="20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Securities will be issued pursuant to the Subordinated Indenture between the Company and Wilmington Trust,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dated as of August 22, 2016, as supplemented by a supplemental indenture thereto to be dated as of May 7, 2026, between the Company and the Trustee (collectively,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Indenture and this Agreement are hereinafter referred to collectively as the “</w:t>
      </w:r>
      <w:r>
        <w:rPr>
          <w:rFonts w:ascii="Times New Roman" w:cs="Times New Roman" w:eastAsia="Times New Roman" w:hAnsi="Times New Roman"/>
          <w:sz w:val="18"/>
          <w:szCs w:val="18"/>
          <w:b w:val="1"/>
          <w:bCs w:val="1"/>
          <w:color w:val="auto"/>
        </w:rPr>
        <w:t>Operative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 “automatic shelf registration statement”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Rule 405 of the rules and regulations (the “</w:t>
      </w:r>
      <w:r>
        <w:rPr>
          <w:rFonts w:ascii="Times New Roman" w:cs="Times New Roman" w:eastAsia="Times New Roman" w:hAnsi="Times New Roman"/>
          <w:sz w:val="18"/>
          <w:szCs w:val="18"/>
          <w:b w:val="1"/>
          <w:bCs w:val="1"/>
          <w:color w:val="auto"/>
        </w:rPr>
        <w:t>1933 Act Regulations</w:t>
      </w:r>
      <w:r>
        <w:rPr>
          <w:rFonts w:ascii="Times New Roman" w:cs="Times New Roman" w:eastAsia="Times New Roman" w:hAnsi="Times New Roman"/>
          <w:sz w:val="18"/>
          <w:szCs w:val="18"/>
          <w:color w:val="auto"/>
        </w:rPr>
        <w:t>”) of the Commission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on Form S-3 (No. 333-284828) covering the public offering and sale from time to time of certain securities of the Company,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under the 1933 Act and the 1933 Act Regulations, which registration statement, and any post-effective amendment thereto, became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filing under Rule 462(e) of the 1933 Act Regulations (“</w:t>
      </w:r>
      <w:r>
        <w:rPr>
          <w:rFonts w:ascii="Times New Roman" w:cs="Times New Roman" w:eastAsia="Times New Roman" w:hAnsi="Times New Roman"/>
          <w:sz w:val="18"/>
          <w:szCs w:val="18"/>
          <w:b w:val="1"/>
          <w:bCs w:val="1"/>
          <w:color w:val="auto"/>
        </w:rPr>
        <w:t>Rule 462(e)</w:t>
      </w:r>
      <w:r>
        <w:rPr>
          <w:rFonts w:ascii="Times New Roman" w:cs="Times New Roman" w:eastAsia="Times New Roman" w:hAnsi="Times New Roman"/>
          <w:sz w:val="18"/>
          <w:szCs w:val="18"/>
          <w:color w:val="auto"/>
        </w:rPr>
        <w:t>”). Such registration statement, at any given time, including any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existing at such time, the exhibits and any schedules thereto on file with the Commission at such time, the information incorporated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therein pursuant to Item 12 of Form S-3 under the 1933 Act at such time and the information otherwise deemed to be a part thereof or included therein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by the 1933 Act Regulations,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Promptly after execution and delivery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prepare and file a prospectus supplement with respect to the Securities with the Commission in accordance with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430B of the 1933 Act Regulations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and Rule 424(b) of the 1933 Act Regulations (“</w:t>
      </w:r>
      <w:r>
        <w:rPr>
          <w:rFonts w:ascii="Times New Roman" w:cs="Times New Roman" w:eastAsia="Times New Roman" w:hAnsi="Times New Roman"/>
          <w:sz w:val="18"/>
          <w:szCs w:val="18"/>
          <w:b w:val="1"/>
          <w:bCs w:val="1"/>
          <w:color w:val="auto"/>
        </w:rPr>
        <w:t>Rule 424(b)</w:t>
      </w:r>
      <w:r>
        <w:rPr>
          <w:rFonts w:ascii="Times New Roman" w:cs="Times New Roman" w:eastAsia="Times New Roman" w:hAnsi="Times New Roman"/>
          <w:sz w:val="18"/>
          <w:szCs w:val="18"/>
          <w:color w:val="auto"/>
        </w:rPr>
        <w:t>”). Any information included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prospectus supplement that was omitted from the Registration Statement or any post-effective amendment thereto that is deemed to be part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included therein pursuant to Rule 430B is referred to herein as the “</w:t>
      </w:r>
      <w:r>
        <w:rPr>
          <w:rFonts w:ascii="Times New Roman" w:cs="Times New Roman" w:eastAsia="Times New Roman" w:hAnsi="Times New Roman"/>
          <w:sz w:val="18"/>
          <w:szCs w:val="18"/>
          <w:b w:val="1"/>
          <w:bCs w:val="1"/>
          <w:color w:val="auto"/>
        </w:rPr>
        <w:t>Rule 430B Information</w:t>
      </w:r>
      <w:r>
        <w:rPr>
          <w:rFonts w:ascii="Times New Roman" w:cs="Times New Roman" w:eastAsia="Times New Roman" w:hAnsi="Times New Roman"/>
          <w:sz w:val="18"/>
          <w:szCs w:val="18"/>
          <w:color w:val="auto"/>
        </w:rPr>
        <w:t>.” The final prospectus and each prospectus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Securities, in the form first furnished to the Underwriters for use in connection with the offering and sale of the Securities,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 or deemed to be incorporated by reference therein pursuant to Item 12 of Form S-3, in the form first furnished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for use in connection with the offering of the Securities, are collectively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Each prospectus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prospectus supplement used in connection with the offering of the Securities that omitted the Rule 430B Information is herein called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For purposes of this Agreement, all references to the Registration Statement, the Prospectus, any preliminary prospectus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Issuer Free Writing Prospectus or any amendment or supplement to any of the foregoing shall be deemed to include the copy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its Electronic Data Gathering, Analysis and Retrieval system (or any successor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All references in this Agreement to financial statements and schedules and other information which is “contained,” “included” or “stated” (or other references of like import) in the Registration Statement, the Prospectus or any preliminary prospectus shall be deemed to include all such financial statements and schedules and other information which are incorporated by reference in or otherwise deemed by the 1933 Act Regulations to be a part of or included in the Registration Statement, the Prospectus or any preliminary prospectus, as the case may be, prior to the Applicable Time (as defined in </w:t>
      </w:r>
      <w:r>
        <w:rPr>
          <w:rFonts w:ascii="Times New Roman" w:cs="Times New Roman" w:eastAsia="Times New Roman" w:hAnsi="Times New Roman"/>
          <w:sz w:val="18"/>
          <w:szCs w:val="18"/>
          <w:u w:val="single" w:color="auto"/>
          <w:color w:val="auto"/>
        </w:rPr>
        <w:t>Section 1(ii)</w:t>
      </w:r>
      <w:r>
        <w:rPr>
          <w:rFonts w:ascii="Times New Roman" w:cs="Times New Roman" w:eastAsia="Times New Roman" w:hAnsi="Times New Roman"/>
          <w:sz w:val="18"/>
          <w:szCs w:val="18"/>
          <w:color w:val="auto"/>
        </w:rPr>
        <w:t xml:space="preserve"> hereof); and all references in this Agreement to amendments or supplements to the Registration Statement, the Prospectus or any preliminary prospectus shall be deemed to include the filing of any document under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1934 Act Regulations</w:t>
      </w:r>
      <w:r>
        <w:rPr>
          <w:rFonts w:ascii="Times New Roman" w:cs="Times New Roman" w:eastAsia="Times New Roman" w:hAnsi="Times New Roman"/>
          <w:sz w:val="18"/>
          <w:szCs w:val="18"/>
          <w:color w:val="auto"/>
        </w:rPr>
        <w:t>”) which is incorporated by reference in or otherwise deemed by the 1933 Act Regulations to be a part of or included in the Registration Statement, the Prospectus or any preliminary prospectus, as the case may be, after the Applicable Time.</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each of the Underwriters as of the date hereof, as of the Applicable Time and as of the Closing Time, and agrees with each of the Underwriters, as follows:</w:t>
      </w:r>
    </w:p>
    <w:p>
      <w:pPr>
        <w:spacing w:after="0" w:line="162" w:lineRule="exact"/>
        <w:rPr>
          <w:sz w:val="20"/>
          <w:szCs w:val="20"/>
          <w:color w:val="auto"/>
        </w:rPr>
      </w:pPr>
    </w:p>
    <w:p>
      <w:pPr>
        <w:ind w:right="40" w:firstLine="436"/>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Well Known Seasoned Issuer</w:t>
      </w:r>
      <w:r>
        <w:rPr>
          <w:rFonts w:ascii="Times New Roman" w:cs="Times New Roman" w:eastAsia="Times New Roman" w:hAnsi="Times New Roman"/>
          <w:sz w:val="18"/>
          <w:szCs w:val="18"/>
          <w:color w:val="auto"/>
        </w:rPr>
        <w:t>. (1) At the time of filing the Registration Statement, (2) at the time of each subsequent amendment to the Registration Statement for the purposes of complying with Section 10(a)(3) of the 1933 Act (whether such amendment was by post-effective amendment, incorporated report filed pursuant to Section 13 or 15(d) of the 1934 Act or form of prospectus), (3) at the time the Company or any person acting on its behalf (within the meaning, for this subsection only, of Rule 163(c) of the 1933 Act Regulations) made any offer relating to the Securities in reliance on the exemption of Rule 163 of the 1933 Act Regulations (“</w:t>
      </w:r>
      <w:r>
        <w:rPr>
          <w:rFonts w:ascii="Times New Roman" w:cs="Times New Roman" w:eastAsia="Times New Roman" w:hAnsi="Times New Roman"/>
          <w:sz w:val="18"/>
          <w:szCs w:val="18"/>
          <w:b w:val="1"/>
          <w:bCs w:val="1"/>
          <w:color w:val="auto"/>
        </w:rPr>
        <w:t>Rule 163</w:t>
      </w:r>
      <w:r>
        <w:rPr>
          <w:rFonts w:ascii="Times New Roman" w:cs="Times New Roman" w:eastAsia="Times New Roman" w:hAnsi="Times New Roman"/>
          <w:sz w:val="18"/>
          <w:szCs w:val="18"/>
          <w:color w:val="auto"/>
        </w:rPr>
        <w:t>”) and (4) at the Applicable Time, the Company was and is a “well-known seasoned issuer” (as defined in Rule 405), including not having been and not being an “ineligible issuer” (as defined in Rule 405). The Registration Statement is an “automatic shelf registration statement” (as defined in Rule 405), and the Securities, as of the date of their registration on the Registration Statement, were, and, as of the date hereof and as of the Closing Time, remain, eligible for registration by the Company on an “automatic shelf registration statement” under Rule 405. The Company has not received from the Commission any notice pursuant to Rule 401(g)(2) of the 1933 Act Regulations objecting to the use of the automatic shelf registration statement form.</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the earliest time that the Company or another offering participant made a bona fide offer (within the meaning of Rule 164(h)(2) of the 1933 Act Regulations) of the Securities, the Company was not nor is an “ineligible issuer” (as defined in Rule 405).</w:t>
      </w:r>
    </w:p>
    <w:p>
      <w:pPr>
        <w:spacing w:after="0" w:line="162" w:lineRule="exact"/>
        <w:rPr>
          <w:sz w:val="20"/>
          <w:szCs w:val="20"/>
          <w:color w:val="auto"/>
        </w:rPr>
      </w:pPr>
    </w:p>
    <w:p>
      <w:pPr>
        <w:ind w:right="20" w:firstLine="436"/>
        <w:spacing w:after="0" w:line="258" w:lineRule="auto"/>
        <w:tabs>
          <w:tab w:leader="none" w:pos="7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Prospectus and Disclosure Package at Time of Sale</w:t>
      </w:r>
      <w:r>
        <w:rPr>
          <w:rFonts w:ascii="Times New Roman" w:cs="Times New Roman" w:eastAsia="Times New Roman" w:hAnsi="Times New Roman"/>
          <w:sz w:val="18"/>
          <w:szCs w:val="18"/>
          <w:color w:val="auto"/>
        </w:rPr>
        <w:t>. The Registration Statement became effective upon filing under Rule 462(e) on February 11, 2025 and any post-effective amendment to the Registration Statement also become effective upon filing under Rule 462(e). No stop order suspending the effectiveness of the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offer that is a written communication relating to the Securities made by the Company or any person acting on its behalf (within the meaning, for this subsection only, of Rule 163(c) of the 1933 Act Regulations) prior to the filing of the Registration Statement or any amendment thereto has been filed with the Commission in accordance with the exemption provided by Rule 163 and otherwise complied with the requirements of Rule 163, including, without limitation, the legending requirement, to qualify such offer for the exemption from Section 5(c) of the 1933 Act provided by Rule 163.</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At the time the Registration Statement became effective, at each deemed effective date with respect to the Securities pursuant to Rule 430B(f)(2) of the 1933 Act Regulations and at the Closing Time, the Registration Statement complied, complies and will comply in all material respects with the requirements of the 1933 Act, the 1933 Act Regulations, the Trust Indenture Act of 1939, as amended (the “</w:t>
      </w:r>
      <w:r>
        <w:rPr>
          <w:rFonts w:ascii="Times New Roman" w:cs="Times New Roman" w:eastAsia="Times New Roman" w:hAnsi="Times New Roman"/>
          <w:sz w:val="18"/>
          <w:szCs w:val="18"/>
          <w:b w:val="1"/>
          <w:bCs w:val="1"/>
          <w:color w:val="auto"/>
        </w:rPr>
        <w:t>1939 Act</w:t>
      </w:r>
      <w:r>
        <w:rPr>
          <w:rFonts w:ascii="Times New Roman" w:cs="Times New Roman" w:eastAsia="Times New Roman" w:hAnsi="Times New Roman"/>
          <w:sz w:val="18"/>
          <w:szCs w:val="18"/>
          <w:color w:val="auto"/>
        </w:rPr>
        <w:t>”), and the rules and regulations of the Commission under the 1939 Act (the “</w:t>
      </w:r>
      <w:r>
        <w:rPr>
          <w:rFonts w:ascii="Times New Roman" w:cs="Times New Roman" w:eastAsia="Times New Roman" w:hAnsi="Times New Roman"/>
          <w:sz w:val="18"/>
          <w:szCs w:val="18"/>
          <w:b w:val="1"/>
          <w:bCs w:val="1"/>
          <w:color w:val="auto"/>
        </w:rPr>
        <w:t>1939 Act Regulations</w:t>
      </w:r>
      <w:r>
        <w:rPr>
          <w:rFonts w:ascii="Times New Roman" w:cs="Times New Roman" w:eastAsia="Times New Roman" w:hAnsi="Times New Roman"/>
          <w:sz w:val="18"/>
          <w:szCs w:val="18"/>
          <w:color w:val="auto"/>
        </w:rPr>
        <w:t>”), and did not, does not and will not contain an untrue statement of a material fact or omit to state a material fact necessary in order to make the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9" w:name="page10"/>
    <w:bookmarkEnd w:id="9"/>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therein, in the light of the circumstances under which they were made, not misleading. Neither the Prospectus nor any amendment or supplement thereto, when read together with the Prospectus, at the time the Prospectus or any such amendment or supplement was issued or at the Closing Time, included or will include an untrue statement of a material fact or omitted or will omit to state a material fact necessary in order to make the statements therein, in the light of the circumstances under which they were made, not misleading. Each preliminary prospectus and the Prospectus complied, when filed with the Commission, in all material respects with the 1933 Act, 1933 Act Regulations and the 1939 Act, and each preliminary prospectus and the Prospectus delivered to the Underwriters for use in connection with the offering of the Securities was identical to the electronically transmitted copies thereof filed with the Commission pursuant to EDGAR, except to the extent permitted by Regulation S-T.</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Applicable Time, any Issuer General Use Free Writing Prospectus (as defined below) and the Statutory Prospectus (as defined below), when considered together (collectively, as of the Applicable Time,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did not include any untrue statement of a material fact or omit to state any material fact necessary in order to make the statements therein, in the light of the circumstances under which they were made, not misleading.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subsection and elsewhere in this Agreement:</w:t>
      </w:r>
    </w:p>
    <w:p>
      <w:pPr>
        <w:spacing w:after="0" w:line="221" w:lineRule="exact"/>
        <w:rPr>
          <w:sz w:val="20"/>
          <w:szCs w:val="20"/>
          <w:color w:val="auto"/>
        </w:rPr>
      </w:pPr>
    </w:p>
    <w:p>
      <w:pPr>
        <w:ind w:right="1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2:32 p.m. (New York City time) on May 4, 2026, or such other time as agreed by the Company and the Representatives.</w:t>
      </w:r>
    </w:p>
    <w:p>
      <w:pPr>
        <w:spacing w:after="0" w:line="15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as of any time means the applicable prospectus relating to the Securities that is, immediately prior to that time, either included in the Registration Statement or deemed to be a part thereof, including any document incorporated therein by reference immediately prior to that time and any preliminary prospectus deemed to be a part thereof.</w:t>
      </w:r>
    </w:p>
    <w:p>
      <w:pPr>
        <w:spacing w:after="0" w:line="17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clause (h)(1) of Rule 433 of the 1933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in each case in the form filed or required to be filed with the Commission or, if not required to be filed, in the form retained in the records of the Company pursuant to Rule 433(g).</w:t>
      </w:r>
    </w:p>
    <w:p>
      <w:pPr>
        <w:spacing w:after="0" w:line="182"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xml:space="preserve">” means any Issuer Free Writing Prospectus that is intended for general distribution to prospective investors (other than a “bona fide electronic road show,” as defined in Rule 433), as evidenced by its being specified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Issuer Free Writing Prospectus, as of its issue date and at all subsequent times through the completion of the offer and sale of the Securities or until any earlier date that the Company notified or notifies the Representatives in writing, did not, does not and will not include any information that conflicted, conflicts or will conflict with the information contained in the Registration Statement or the Prospectus, including any document incorporated therein by reference and any preliminary or other prospectus deemed to be a part thereof that has not been superseded or modified.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 w:name="page11"/>
    <w:bookmarkEnd w:id="10"/>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representations and warranties in this subsection shall not apply to statements in or omissions from the Registration Statement or the Prospectus made in reliance upon and in conformity with any Underwriters’ Information (as defined in </w:t>
      </w:r>
      <w:r>
        <w:rPr>
          <w:rFonts w:ascii="Times New Roman" w:cs="Times New Roman" w:eastAsia="Times New Roman" w:hAnsi="Times New Roman"/>
          <w:sz w:val="18"/>
          <w:szCs w:val="18"/>
          <w:u w:val="single" w:color="auto"/>
          <w:color w:val="auto"/>
        </w:rPr>
        <w:t>Section 6(a)(iii)</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140" w:firstLine="436"/>
        <w:spacing w:after="0" w:line="253" w:lineRule="auto"/>
        <w:tabs>
          <w:tab w:leader="none" w:pos="7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preliminary prospectus or the Prospectus, when read together with the other information in the preliminary prospectus or the Prospectus, at the time the Registration Statement became effective or such documents were filed with the Commission, as the case may be, did not, and at the earlier of the time the Prospectus was first used and the first “time of sale,” within the meaning of Rule 159 under the 1933 Act Regulations, of Securities in this offering and at the Closing Time will not, include an untrue statement of a material fact or omit to state a material fact necessary in order to make the statements therein, in the light of the circumstances under which they were made, not misleading. The documents incorporated or deemed to be incorporated by reference in the Prospectus, when filed with the Commission, conformed or will conform, as the case may be, in all material respects to the applicable requirements of the 1934 Act and the 1934 Act Regulations. There are no material contracts or documents which are required to be described in the Registration Statement, the Disclosure Package, the Prospectus or the documents incorporated by reference therein or required to be filed as exhibits thereto which have not been so properly described or filed as required.</w:t>
      </w:r>
    </w:p>
    <w:p>
      <w:pPr>
        <w:spacing w:after="0" w:line="194" w:lineRule="exact"/>
        <w:rPr>
          <w:rFonts w:ascii="Times New Roman" w:cs="Times New Roman" w:eastAsia="Times New Roman" w:hAnsi="Times New Roman"/>
          <w:sz w:val="18"/>
          <w:szCs w:val="18"/>
          <w:color w:val="auto"/>
        </w:rPr>
      </w:pPr>
    </w:p>
    <w:p>
      <w:pPr>
        <w:ind w:right="100" w:firstLine="436"/>
        <w:spacing w:after="0" w:line="266" w:lineRule="auto"/>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BDO USA, P.C. (formerly HORNE LLP), the accounting firm who certified the financial statements and supporting schedules of the Company included in the Registration Statement and the Prospectus, is an independent registered public accounting firm as required by the 1933 Act and the 1933 Act Regulations and the rules of the Public Company Accounting Oversight Board.</w:t>
      </w:r>
    </w:p>
    <w:p>
      <w:pPr>
        <w:spacing w:after="0" w:line="175"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historical financial statements, together with the related schedules and notes, included in the preliminary prospectus, the Prospectus, the Disclosure Package and the Registration Statement comply with the requirements of the 1933 Act and present fairly, in all material respects, the financial position of the Company and its consolidated subsidiaries at the dates indicated, and the statements of income, comprehensive income, changes in shareholders’ equity and cash flows of the Company and its consolidated subsidiaries for the periods specified. Said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The supporting schedules, if any, included therein present fairly, in all material respects, in accordance with GAAP the information required to be stated therein.</w:t>
      </w:r>
    </w:p>
    <w:p>
      <w:pPr>
        <w:spacing w:after="0" w:line="188" w:lineRule="exact"/>
        <w:rPr>
          <w:rFonts w:ascii="Times New Roman" w:cs="Times New Roman" w:eastAsia="Times New Roman" w:hAnsi="Times New Roman"/>
          <w:sz w:val="18"/>
          <w:szCs w:val="18"/>
          <w:color w:val="auto"/>
        </w:rPr>
      </w:pPr>
    </w:p>
    <w:p>
      <w:pPr>
        <w:ind w:right="180" w:firstLine="436"/>
        <w:spacing w:after="0" w:line="266" w:lineRule="auto"/>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Interactive Data</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requirements of the 1933 Act and the Commission’s rules and guidelines applicable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 w:name="page12"/>
    <w:bookmarkEnd w:id="11"/>
    <w:p>
      <w:pPr>
        <w:ind w:left="4" w:firstLine="436"/>
        <w:spacing w:after="0" w:line="266" w:lineRule="auto"/>
        <w:tabs>
          <w:tab w:leader="none" w:pos="79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 in Business</w:t>
      </w:r>
      <w:r>
        <w:rPr>
          <w:rFonts w:ascii="Times New Roman" w:cs="Times New Roman" w:eastAsia="Times New Roman" w:hAnsi="Times New Roman"/>
          <w:sz w:val="17"/>
          <w:szCs w:val="17"/>
          <w:color w:val="auto"/>
        </w:rPr>
        <w:t>. Since the respective dates as of which information is given in the Prospectus, the Disclosure Package and the Registration Statement, except as otherwise stated therein, (1) neither the Company nor any of its subsidiaries has incurred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the subsidiaries, taken as a whole, (2) there has been no material adverse change, or any development which could reasonably be expected to have a material adverse change, in the condition, financial or otherwise, or in the earnings, properties, business affairs or prospects of the Company and its subsidiaries, considered as one enterprise, whether or not arising in the ordinary course of business (a “</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(3) neither the Company nor any of its subsidiaries has entered into any transaction, other than in the ordinary course of business, that is material to the Company and its subsidiaries, considered as one enterprise, (4) there has not been any material change in the capital stock of the Company or any of its Significant Subsidiaries (as defined below) (other than issuances or other transfers of capital stock in the ordinary course of business pursuant to the Company’s employee benefit plans (including its equity incentive plans), the Company’s dividend reinvestment plan and employee stock purchase plan or repurchases of common stock by the Company pursuant to a share repurchase program disclosed in the Prospectus) or any material increase in the long term indebtedness of the Company or its Significant Subsidiaries, and (5) except for (i) its quarterly cash dividend in the amount of $0.23 per share declared on February 20,</w:t>
      </w:r>
    </w:p>
    <w:p>
      <w:pPr>
        <w:spacing w:after="0" w:line="9" w:lineRule="exact"/>
        <w:rPr>
          <w:rFonts w:ascii="Times New Roman" w:cs="Times New Roman" w:eastAsia="Times New Roman" w:hAnsi="Times New Roman"/>
          <w:sz w:val="17"/>
          <w:szCs w:val="17"/>
          <w:color w:val="auto"/>
        </w:rPr>
      </w:pPr>
    </w:p>
    <w:p>
      <w:pPr>
        <w:ind w:left="4" w:right="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and payable on March 31, 2026 to shareholders of record as of the close of business on March 17, 2026 and (ii) its quarterly cash dividend in the amount of $0.24 per share declared on April 28, 2026 and payable on June 30, 2026 to shareholders of record as of the close of business on June 16, 2026, the Company has not declared, paid or made any dividend or distribution of any kind on any class of its capital stock (each of clauses (1), (2), (3),</w:t>
      </w: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(5),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80" w:firstLine="436"/>
        <w:spacing w:after="0" w:line="252" w:lineRule="auto"/>
        <w:tabs>
          <w:tab w:leader="none" w:pos="84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Enforcement Matters</w:t>
      </w:r>
      <w:r>
        <w:rPr>
          <w:rFonts w:ascii="Times New Roman" w:cs="Times New Roman" w:eastAsia="Times New Roman" w:hAnsi="Times New Roman"/>
          <w:sz w:val="18"/>
          <w:szCs w:val="18"/>
          <w:color w:val="auto"/>
        </w:rPr>
        <w:t>. Except as disclosed in the Registration Statement, the Prospectus and the Disclosure Package, neither the Company nor any of its subsidiaries is subject or is party to, or has received any written notice that any of them may or will become subject or party to any investigation with respect to, any cease-and-desist order, written agreement, consent agreement, memorandum of understanding or other regulatory enforcement action, proceeding or order with or by, or is a party to any commitment letter or similar undertaking to, or is subject to any directive by, or has been a recipient of any supervisory letter from, or has adopted any board resolutions at the request of, any Regulatory Agency (as defined below) that in any material respect (considered on a consolidated basis) currently relates to or restricts the conduct of their business or that in any material manner relates to their capital adequacy, their credit policies, or their management (each, a “</w:t>
      </w:r>
      <w:r>
        <w:rPr>
          <w:rFonts w:ascii="Times New Roman" w:cs="Times New Roman" w:eastAsia="Times New Roman" w:hAnsi="Times New Roman"/>
          <w:sz w:val="18"/>
          <w:szCs w:val="18"/>
          <w:b w:val="1"/>
          <w:bCs w:val="1"/>
          <w:color w:val="auto"/>
        </w:rPr>
        <w:t>Regulatory Agreement</w:t>
      </w:r>
      <w:r>
        <w:rPr>
          <w:rFonts w:ascii="Times New Roman" w:cs="Times New Roman" w:eastAsia="Times New Roman" w:hAnsi="Times New Roman"/>
          <w:sz w:val="18"/>
          <w:szCs w:val="18"/>
          <w:color w:val="auto"/>
        </w:rPr>
        <w:t>”), nor has the Company or any of its subsidiaries been advised in writing by any Regulatory Agency that it is considering issuing or requesting any such Regulatory Agreement, where any such Regulatory Agreement could reasonably be expected to have a Material Adverse Effect. Except as disclosed in the Registration Statement, the Prospectus and the Disclosure Package, there is no unresolved violation, criticism or exception by any Regulatory Agency with respect to any report or statement relating to any examination of the Company or any of its subsidiaries which, in the reasonable judgment of the Company, is expected to result in a Material Adverse Effect or is expected to prevent or materially delay the transactions contemplated by this Agreement. As used herein, the term “Regulatory Agency” means any federal or state agency charged with the supervision or regulation of depository institutions, or holding companies of depository institutions, or engaged in the insurance of depository institution deposits, or engaged in the regulation and enforcement of consumer financial services, or any court, administrative agency or commission or other federal or state governmental agency, authority or instrumentality having supervisory or regulatory authority with respect to the Company or any of its subsidiaries.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2" w:name="page13"/>
    <w:bookmarkEnd w:id="12"/>
    <w:p>
      <w:pPr>
        <w:ind w:firstLine="436"/>
        <w:spacing w:after="0" w:line="256" w:lineRule="auto"/>
        <w:tabs>
          <w:tab w:leader="none" w:pos="7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Mississippi and has corporate power and authority to own, lease and operate its properties and to conduct its business as described in the Registration Statement, the Prospectus and the Disclosure Package, to enter into and perform its obligations under each of the Operative Documents to which it is a party, and to issue the Securities, and is duly qualified as a foreign corporation to transact business and is in good standing in each other jurisdiction in which such qualification or license is required, whether by reason of the ownership or leasing of property or the conduct of business, except where the failure to so qualify or be in good standing would not result in a Material Adverse Effect.</w:t>
      </w:r>
    </w:p>
    <w:p>
      <w:pPr>
        <w:spacing w:after="0" w:line="187" w:lineRule="exact"/>
        <w:rPr>
          <w:rFonts w:ascii="Times New Roman" w:cs="Times New Roman" w:eastAsia="Times New Roman" w:hAnsi="Times New Roman"/>
          <w:sz w:val="18"/>
          <w:szCs w:val="18"/>
          <w:color w:val="auto"/>
        </w:rPr>
      </w:pPr>
    </w:p>
    <w:p>
      <w:pPr>
        <w:ind w:right="200" w:firstLine="436"/>
        <w:spacing w:after="0" w:line="258"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The Company has been duly registered as, and meets in all material respects the applicable requirements for qualification as, a bank holding company and has elected to be treated as a financial holding company under the applicable provisions of the Bank Holding Company Act of 1956, as amended. The activities of the subsidiaries are permitted of subsidiaries of a financial holding company under applicable law and the rules and regulations of the Board of Governors of the Federal Reserve System (the “</w:t>
      </w:r>
      <w:r>
        <w:rPr>
          <w:rFonts w:ascii="Times New Roman" w:cs="Times New Roman" w:eastAsia="Times New Roman" w:hAnsi="Times New Roman"/>
          <w:sz w:val="18"/>
          <w:szCs w:val="18"/>
          <w:b w:val="1"/>
          <w:bCs w:val="1"/>
          <w:color w:val="auto"/>
        </w:rPr>
        <w:t>Federal Reserve</w:t>
      </w:r>
      <w:r>
        <w:rPr>
          <w:rFonts w:ascii="Times New Roman" w:cs="Times New Roman" w:eastAsia="Times New Roman" w:hAnsi="Times New Roman"/>
          <w:sz w:val="18"/>
          <w:szCs w:val="18"/>
          <w:color w:val="auto"/>
        </w:rPr>
        <w:t>”) set forth in Title 12 of the Code of Federal Regulations. The Company is “well capitalized” as that term is defined at 12 CFR part 225.</w:t>
      </w:r>
    </w:p>
    <w:p>
      <w:pPr>
        <w:spacing w:after="0" w:line="179" w:lineRule="exact"/>
        <w:rPr>
          <w:rFonts w:ascii="Times New Roman" w:cs="Times New Roman" w:eastAsia="Times New Roman" w:hAnsi="Times New Roman"/>
          <w:sz w:val="18"/>
          <w:szCs w:val="18"/>
          <w:color w:val="auto"/>
        </w:rPr>
      </w:pPr>
    </w:p>
    <w:p>
      <w:pPr>
        <w:ind w:right="40" w:firstLine="436"/>
        <w:spacing w:after="0" w:line="255" w:lineRule="auto"/>
        <w:tabs>
          <w:tab w:leader="none" w:pos="7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“significant subsidiary” of the Company (as such term is defined in Rule 1-02 of Regulation S-X) (each, a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has been duly organized and is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jurisdiction of its incorporation or organization, has corporate or similar power and authority to own, lease and operate its properties and to conduct its business as described in the Registration Statement, the Prospectus and the Disclosure Package and is duly qualified and licensed to transact business and is in good standing in each foreign jurisdiction in which such qualification is required, whether by reason of the ownership or leasing of property or the conduct of business, except where the failure to so qualify or to be in good standing would not result in a Material Adverse Effect. The only Significant Subsidiary of the Company is Renasant Bank (the “</w:t>
      </w:r>
      <w:r>
        <w:rPr>
          <w:rFonts w:ascii="Times New Roman" w:cs="Times New Roman" w:eastAsia="Times New Roman" w:hAnsi="Times New Roman"/>
          <w:sz w:val="18"/>
          <w:szCs w:val="18"/>
          <w:b w:val="1"/>
          <w:bCs w:val="1"/>
          <w:color w:val="auto"/>
        </w:rPr>
        <w:t>Bank Subsidiary</w:t>
      </w:r>
      <w:r>
        <w:rPr>
          <w:rFonts w:ascii="Times New Roman" w:cs="Times New Roman" w:eastAsia="Times New Roman" w:hAnsi="Times New Roman"/>
          <w:sz w:val="18"/>
          <w:szCs w:val="18"/>
          <w:color w:val="auto"/>
        </w:rPr>
        <w:t>”). The Bank Subsidiary is a member in good standing of its applicable Federal Home Loan Bank.</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7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Duly Authorized and Validly Issued</w:t>
      </w:r>
      <w:r>
        <w:rPr>
          <w:rFonts w:ascii="Times New Roman" w:cs="Times New Roman" w:eastAsia="Times New Roman" w:hAnsi="Times New Roman"/>
          <w:sz w:val="18"/>
          <w:szCs w:val="18"/>
          <w:color w:val="auto"/>
        </w:rPr>
        <w:t>. All of the issued and outstanding shares of capital stock of the Company have been duly authorized and validly issued and are fully paid and nonassessable. All of the issued and outstanding shares of capital stock of the Bank Subsidiary have been duly authorized and validly issued, are fully paid and nonassessable (except as provided in Mississippi Code section 81-5-27) and are owned by the Company, directly or through one or more other subsidiaries, free and clear of any security interest, mortgage, pledge, lien, encumbrance, claim or equitable right. None of the issued and outstanding shares of capital stock of the Company or the Bank Subsidiary were issued in violation of any preemptive or similar rights of any shareholder of the Company or the Bank Subsidiary, as the case may be, arising by operation of law, or under the certificate of incorporation, bylaws or other organizational documents of the Company or the Bank Subsidiary or under any agreement to which the Company or the Bank Subsidiary is a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ind w:left="-60" w:right="80" w:firstLine="436"/>
        <w:spacing w:after="0" w:line="255" w:lineRule="auto"/>
        <w:tabs>
          <w:tab w:leader="none" w:pos="7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authorized, issued and outstanding capital stock and consolidated long term debt (i.e., a maturity greater than one year) of the Company as of December 31, 2025 is as set forth in the Prospectus in the column entitled “Actual” under “Capitalization.” There have not been any subsequent issuances of capital stock of the Company since such date (except issuances of common stock pursuant to exercises of employee stock options, issuances pursuant to employee benefit plans (including awards of restricted stock to Company employees pursuant to the Company’s equity incentive plans) and pursuant to the Company’s dividend reinvestment plan and employee stock purchase plans). There have not been any additional long term borrowings by the Company or its consolidated subsidiaries since such date, except, with respect to the Bank Subsidiary, pursuant to Federal Home Loan Bank advances or securities sold under agreements to repurchase by the Bank Subsidiary in its ordinary course of business.</w:t>
      </w:r>
    </w:p>
    <w:p>
      <w:pPr>
        <w:spacing w:after="0" w:line="188" w:lineRule="exact"/>
        <w:rPr>
          <w:rFonts w:ascii="Times New Roman" w:cs="Times New Roman" w:eastAsia="Times New Roman" w:hAnsi="Times New Roman"/>
          <w:sz w:val="18"/>
          <w:szCs w:val="18"/>
          <w:color w:val="auto"/>
        </w:rPr>
      </w:pPr>
    </w:p>
    <w:p>
      <w:pPr>
        <w:ind w:left="780" w:hanging="404"/>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60" w:right="20" w:firstLine="436"/>
        <w:spacing w:after="0" w:line="255" w:lineRule="auto"/>
        <w:tabs>
          <w:tab w:leader="none" w:pos="7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Indenture</w:t>
      </w:r>
      <w:r>
        <w:rPr>
          <w:rFonts w:ascii="Times New Roman" w:cs="Times New Roman" w:eastAsia="Times New Roman" w:hAnsi="Times New Roman"/>
          <w:sz w:val="18"/>
          <w:szCs w:val="18"/>
          <w:color w:val="auto"/>
        </w:rPr>
        <w:t>. The Indenture has been duly authorized by the Company and, when executed and delivered by the Company, the Indenture will constitute a valid, legal and binding agreement of the Company, enforceable against the Company in accordance with its terms, except to the extent that enforceability may be limited by (1) bankruptcy, insolvency, reorganization, moratorium, fraudulent conveyance or other similar laws now or hereafter in effect relating to creditors’ rights generally, (2) general principles of equity (regardless of whether enforceability is considered in a proceeding at law or in equity) and (3) with respect to the rights to indemnity or contribution, including but not limited to, indemnification and contribution provisions set forth in this Agreement, federal or state securities law or the public policy underlying such laws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0" w:right="40" w:firstLine="436"/>
        <w:spacing w:after="0" w:line="258" w:lineRule="auto"/>
        <w:tabs>
          <w:tab w:leader="none" w:pos="7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Securities</w:t>
      </w:r>
      <w:r>
        <w:rPr>
          <w:rFonts w:ascii="Times New Roman" w:cs="Times New Roman" w:eastAsia="Times New Roman" w:hAnsi="Times New Roman"/>
          <w:sz w:val="18"/>
          <w:szCs w:val="18"/>
          <w:color w:val="auto"/>
        </w:rPr>
        <w:t>. The Securities have been duly authorized by the Company and, at the Closing Time, will have been duly executed by the Company and, when authenticated in the manner provided for in the Indenture and delivered by the Company against payment therefor as described in the Prospectus or as contemplated in the Indenture, will constitute valid, legal and binding obligations of the Company, enforceable against the Company in accordance with their terms, except to the extent that enforceability may be limited by the Enforceability Exceptions; the Securities will be in the form contemplated by, and will be entitled to the benefits of, the Indenture.</w:t>
      </w:r>
    </w:p>
    <w:p>
      <w:pPr>
        <w:spacing w:after="0" w:line="183" w:lineRule="exact"/>
        <w:rPr>
          <w:rFonts w:ascii="Times New Roman" w:cs="Times New Roman" w:eastAsia="Times New Roman" w:hAnsi="Times New Roman"/>
          <w:sz w:val="18"/>
          <w:szCs w:val="18"/>
          <w:color w:val="auto"/>
        </w:rPr>
      </w:pPr>
    </w:p>
    <w:p>
      <w:pPr>
        <w:ind w:left="820" w:hanging="444"/>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 under 1939 Act</w:t>
      </w:r>
      <w:r>
        <w:rPr>
          <w:rFonts w:ascii="Times New Roman" w:cs="Times New Roman" w:eastAsia="Times New Roman" w:hAnsi="Times New Roman"/>
          <w:sz w:val="18"/>
          <w:szCs w:val="18"/>
          <w:color w:val="auto"/>
        </w:rPr>
        <w:t>. The Indenture has been duly qualified with respect to the Securities under the 1939 Act.</w:t>
      </w:r>
    </w:p>
    <w:p>
      <w:pPr>
        <w:spacing w:after="0" w:line="225" w:lineRule="exact"/>
        <w:rPr>
          <w:rFonts w:ascii="Times New Roman" w:cs="Times New Roman" w:eastAsia="Times New Roman" w:hAnsi="Times New Roman"/>
          <w:sz w:val="18"/>
          <w:szCs w:val="18"/>
          <w:color w:val="auto"/>
        </w:rPr>
      </w:pPr>
    </w:p>
    <w:p>
      <w:pPr>
        <w:ind w:left="-60" w:firstLine="436"/>
        <w:spacing w:after="0" w:line="261" w:lineRule="auto"/>
        <w:tabs>
          <w:tab w:leader="none" w:pos="8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Investment Company</w:t>
      </w:r>
      <w:r>
        <w:rPr>
          <w:rFonts w:ascii="Times New Roman" w:cs="Times New Roman" w:eastAsia="Times New Roman" w:hAnsi="Times New Roman"/>
          <w:sz w:val="18"/>
          <w:szCs w:val="18"/>
          <w:color w:val="auto"/>
        </w:rPr>
        <w:t>. The Company is not, and immediately following consummation of the transactions contemplated hereby and the application of the net proceeds as described in the Registration Statement, the Prospectus and the Disclosure Package, the Company will not be required to register as an “investment company” or an entity controlled by an “investment company,” in each case within the meaning of Section 3(a) of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without regard to Section 3(c) of the 1940 Act.</w:t>
      </w:r>
    </w:p>
    <w:p>
      <w:pPr>
        <w:spacing w:after="0" w:line="179" w:lineRule="exact"/>
        <w:rPr>
          <w:rFonts w:ascii="Times New Roman" w:cs="Times New Roman" w:eastAsia="Times New Roman" w:hAnsi="Times New Roman"/>
          <w:sz w:val="18"/>
          <w:szCs w:val="18"/>
          <w:color w:val="auto"/>
        </w:rPr>
      </w:pPr>
    </w:p>
    <w:p>
      <w:pPr>
        <w:ind w:left="-60" w:right="840" w:firstLine="436"/>
        <w:spacing w:after="0" w:line="282" w:lineRule="auto"/>
        <w:tabs>
          <w:tab w:leader="none" w:pos="7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Securities</w:t>
      </w:r>
      <w:r>
        <w:rPr>
          <w:rFonts w:ascii="Times New Roman" w:cs="Times New Roman" w:eastAsia="Times New Roman" w:hAnsi="Times New Roman"/>
          <w:sz w:val="18"/>
          <w:szCs w:val="18"/>
          <w:color w:val="auto"/>
        </w:rPr>
        <w:t>. The Securities will conform, in all material respects, to all statements relating thereto contained in the Registration Statement, the Prospectus and the Disclosure Package.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70" w:right="519" w:bottom="1440" w:gutter="0" w:footer="0" w:header="0"/>
        </w:sectPr>
      </w:pPr>
    </w:p>
    <w:bookmarkStart w:id="14" w:name="page15"/>
    <w:bookmarkEnd w:id="14"/>
    <w:p>
      <w:pPr>
        <w:ind w:left="-20" w:firstLine="436"/>
        <w:spacing w:after="0" w:line="251" w:lineRule="auto"/>
        <w:tabs>
          <w:tab w:leader="none" w:pos="7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Defaults and Conflicts</w:t>
      </w:r>
      <w:r>
        <w:rPr>
          <w:rFonts w:ascii="Times New Roman" w:cs="Times New Roman" w:eastAsia="Times New Roman" w:hAnsi="Times New Roman"/>
          <w:sz w:val="18"/>
          <w:szCs w:val="18"/>
          <w:color w:val="auto"/>
        </w:rPr>
        <w:t>. Neither the Company nor any of its subsidiaries is (1) in violation of its charter, bylaws or other organizational document, (2) in default in the performance or observance of any obligation, agreement, covenant or condition contained in any contract, indenture, mortgage, deed of trust, loan or credit agreement, note, lease or other agreement or instrument to which it is a party or by which it or any of them may be bound or to which any of its assets is subject (collectively, “</w:t>
      </w:r>
      <w:r>
        <w:rPr>
          <w:rFonts w:ascii="Times New Roman" w:cs="Times New Roman" w:eastAsia="Times New Roman" w:hAnsi="Times New Roman"/>
          <w:sz w:val="18"/>
          <w:szCs w:val="18"/>
          <w:b w:val="1"/>
          <w:bCs w:val="1"/>
          <w:color w:val="auto"/>
        </w:rPr>
        <w:t>Agreements and Instruments</w:t>
      </w:r>
      <w:r>
        <w:rPr>
          <w:rFonts w:ascii="Times New Roman" w:cs="Times New Roman" w:eastAsia="Times New Roman" w:hAnsi="Times New Roman"/>
          <w:sz w:val="18"/>
          <w:szCs w:val="18"/>
          <w:color w:val="auto"/>
        </w:rPr>
        <w:t>”), except for such defaults that would not, individually or in the aggregate, result in a Material Adverse Effect, or (3) except as disclosed in the Registration Statement, the Prospectus and the Disclosure Package, in violation of any U.S. or non-U.S. federal, state or local statute, law (including, without limitation, common law) or ordinance, or any judgment, decree, rule, regulation, order or injunction of any U.S. or non-U.S. federal, state, local or other governmental or regulatory authority, governmental or regulatory agency or body, court, arbitrator or self-regulatory organization applicable to the Company or its Bank Subsidiary or any of their respective properties, assets or operations (each, a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except for any such default or violation that would not, individually or in the aggregate, have a Material Adverse Effect. The execution, delivery and performance of the Operative Documents and the Securities by the Company, the issuance, sale and delivery of the Securities, the consummation of the transactions contemplated by the Operative Documents and the Securities and in the Registration Statement, the Prospectus and the Disclosure Package (including the use of the proceeds from the sale of the Securities), and compliance by the Company with the terms of the Operative Documents and the Securities have been duly authorized by all necessary corporate action on the part of the Company, and do not and will not, whether with or without the giving of notice or passage of time or both, (1) violate, conflict with or constitute a breach of, or default or Repayment Event (as defined below) under, or result in the creation or imposition of any, security interest, mortgage, pledge, lien, charge, encumbrance, claim or equitable right upon any assets of the Company or its Bank Subsidiary pursuant to, any of the Agreements and Instruments, (2) result in any violation of any provision of the charter, bylaws or other organizational document of the Company or its Bank Subsidiary or (3) result in any violation by the Company or its Bank Subsidiary of any applicable law, statute, rule, regulation, judgment, order, writ or decree of any Governmental Entity, except in the case of clauses (1) and (3), as would not, individually or in the aggregate, result in a Material Adverse Effect. As used herein, a “Repayment Event”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or any of their respective properties.</w:t>
      </w:r>
    </w:p>
    <w:p>
      <w:pPr>
        <w:spacing w:after="0" w:line="205" w:lineRule="exact"/>
        <w:rPr>
          <w:rFonts w:ascii="Times New Roman" w:cs="Times New Roman" w:eastAsia="Times New Roman" w:hAnsi="Times New Roman"/>
          <w:sz w:val="18"/>
          <w:szCs w:val="18"/>
          <w:color w:val="auto"/>
        </w:rPr>
      </w:pPr>
    </w:p>
    <w:p>
      <w:pPr>
        <w:ind w:left="-20" w:right="200" w:firstLine="436"/>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the Bank Subsidiary exists or, to the knowledge of the senior management of the Company, is contemplated or threatened, which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8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Each of the Company, its subsidiaries and each ERISA Affiliate (as hereinafter defined) has fulfilled its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with respect to each “pension plan” (as defined in Section 3(2) of ERISA), subject to Section 302 of ERISA, which the Company, its subsidiaries or any ERISA Affiliate sponsors or maintains, or with respect to which it has (or within the last three years had)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15" w:name="page16"/>
    <w:bookmarkEnd w:id="15"/>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to make contributions, and each such plan sponsored or maintained by any such entity, and each such entity with respect to each such plan, is in compliance in all respects with the presently applicable provisions of ERISA and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except where such failure to fulfill its obligations or such non-compliance would not result in a Material Adverse Effect. None of the Company, its subsidiaries or any ERISA Affiliate has incurred any unpaid liability to the Pension Benefit Guaranty Corporation (other than for the payment of premiums in the ordinary course) or to any such plan under Title IV of ERISA, except where such unpaid liability would not result in a Material Adverse Effect. No prohibited transaction, within the meaning of Section 406 of ERISA or Section 4975 of the Code, has occurred with respect to any such plan, excluding transactions effected pursuant to a statutory or administrative exemption, that could reasonably be expected to result in a material liability to the Company and its subsidiaries taken as a whole. “ERISA Affiliate” means a corporation, trade or business that is, along with the Company or any subsidiary, a member of a controlled group of corporations or a controlled group of trades or businesses, as described in Section 414 of the Code or Section 4001 of ERISA.</w:t>
      </w:r>
    </w:p>
    <w:p>
      <w:pPr>
        <w:spacing w:after="0" w:line="194" w:lineRule="exact"/>
        <w:rPr>
          <w:sz w:val="20"/>
          <w:szCs w:val="20"/>
          <w:color w:val="auto"/>
        </w:rPr>
      </w:pPr>
    </w:p>
    <w:p>
      <w:pPr>
        <w:ind w:left="4" w:right="60" w:firstLine="436"/>
        <w:spacing w:after="0" w:line="272" w:lineRule="auto"/>
        <w:tabs>
          <w:tab w:leader="none" w:pos="93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Proceedings</w:t>
      </w:r>
      <w:r>
        <w:rPr>
          <w:rFonts w:ascii="Times New Roman" w:cs="Times New Roman" w:eastAsia="Times New Roman" w:hAnsi="Times New Roman"/>
          <w:sz w:val="17"/>
          <w:szCs w:val="17"/>
          <w:color w:val="auto"/>
        </w:rPr>
        <w:t>. Except as disclosed in the Registration Statement, the Prospectus and the Disclosure Package, there is no action, suit, proceeding, inquiry or investigation before or brought by any Governmental Entity, now pending, or, to the knowledge of the Company, threatened against or affecting the Company or any of its subsidiaries, which (1) is required to be disclosed in the Registration Statement or the Prospectus;</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have a Material Adverse Effect or (3) would reasonably be expected to materially and adversely affect the consummation of the transactions contemplated by this Agreement, the other Operative Documents or the Securities or the performance by the Company of its obligations hereunder or thereunder. Except as described in the Registration Statement, the Prospectus and the Disclosure Package, there are no legal or governmental proceedings to which the Company or any of its subsidiaries is a party or of which any of their respective assets is the subject, including ordinary routine litigation incidental to the business, which would, in the aggregate, reasonably be expected to have a Material Adverse Effect.</w:t>
      </w:r>
    </w:p>
    <w:p>
      <w:pPr>
        <w:spacing w:after="0" w:line="185" w:lineRule="exact"/>
        <w:rPr>
          <w:rFonts w:ascii="Times New Roman" w:cs="Times New Roman" w:eastAsia="Times New Roman" w:hAnsi="Times New Roman"/>
          <w:sz w:val="18"/>
          <w:szCs w:val="18"/>
          <w:color w:val="auto"/>
        </w:rPr>
      </w:pPr>
    </w:p>
    <w:p>
      <w:pPr>
        <w:ind w:left="924" w:hanging="484"/>
        <w:spacing w:after="0"/>
        <w:tabs>
          <w:tab w:leader="none" w:pos="9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8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Bank Regulatory Authorities</w:t>
      </w:r>
      <w:r>
        <w:rPr>
          <w:rFonts w:ascii="Times New Roman" w:cs="Times New Roman" w:eastAsia="Times New Roman" w:hAnsi="Times New Roman"/>
          <w:sz w:val="18"/>
          <w:szCs w:val="18"/>
          <w:color w:val="auto"/>
        </w:rPr>
        <w:t>. The Company and the Bank Subsidiary are in compliance in all material respects with all applicable laws, rules and regulations (including, without limitation, all applicable regulations and orders) of, or agreements with, the Federal Reserve System, the Office of the Comptroller of the Currency (the “</w:t>
      </w:r>
      <w:r>
        <w:rPr>
          <w:rFonts w:ascii="Times New Roman" w:cs="Times New Roman" w:eastAsia="Times New Roman" w:hAnsi="Times New Roman"/>
          <w:sz w:val="18"/>
          <w:szCs w:val="18"/>
          <w:b w:val="1"/>
          <w:bCs w:val="1"/>
          <w:color w:val="auto"/>
        </w:rPr>
        <w:t>OCC</w:t>
      </w:r>
      <w:r>
        <w:rPr>
          <w:rFonts w:ascii="Times New Roman" w:cs="Times New Roman" w:eastAsia="Times New Roman" w:hAnsi="Times New Roman"/>
          <w:sz w:val="18"/>
          <w:szCs w:val="18"/>
          <w:color w:val="auto"/>
        </w:rPr>
        <w:t>”), the Federal Deposit Insurance Corporation (the “</w:t>
      </w:r>
      <w:r>
        <w:rPr>
          <w:rFonts w:ascii="Times New Roman" w:cs="Times New Roman" w:eastAsia="Times New Roman" w:hAnsi="Times New Roman"/>
          <w:sz w:val="18"/>
          <w:szCs w:val="18"/>
          <w:b w:val="1"/>
          <w:bCs w:val="1"/>
          <w:color w:val="auto"/>
        </w:rPr>
        <w:t>FDIC</w:t>
      </w:r>
      <w:r>
        <w:rPr>
          <w:rFonts w:ascii="Times New Roman" w:cs="Times New Roman" w:eastAsia="Times New Roman" w:hAnsi="Times New Roman"/>
          <w:sz w:val="18"/>
          <w:szCs w:val="18"/>
          <w:color w:val="auto"/>
        </w:rPr>
        <w:t>”) and the Consumer Financial Protection Bureau (the “</w:t>
      </w:r>
      <w:r>
        <w:rPr>
          <w:rFonts w:ascii="Times New Roman" w:cs="Times New Roman" w:eastAsia="Times New Roman" w:hAnsi="Times New Roman"/>
          <w:sz w:val="18"/>
          <w:szCs w:val="18"/>
          <w:b w:val="1"/>
          <w:bCs w:val="1"/>
          <w:color w:val="auto"/>
        </w:rPr>
        <w:t>CFPB</w:t>
      </w:r>
      <w:r>
        <w:rPr>
          <w:rFonts w:ascii="Times New Roman" w:cs="Times New Roman" w:eastAsia="Times New Roman" w:hAnsi="Times New Roman"/>
          <w:sz w:val="18"/>
          <w:szCs w:val="18"/>
          <w:color w:val="auto"/>
        </w:rPr>
        <w:t>”), as applicable (collectively, the “</w:t>
      </w:r>
      <w:r>
        <w:rPr>
          <w:rFonts w:ascii="Times New Roman" w:cs="Times New Roman" w:eastAsia="Times New Roman" w:hAnsi="Times New Roman"/>
          <w:sz w:val="18"/>
          <w:szCs w:val="18"/>
          <w:b w:val="1"/>
          <w:bCs w:val="1"/>
          <w:color w:val="auto"/>
        </w:rPr>
        <w:t>Bank Regulatory Authorities</w:t>
      </w:r>
      <w:r>
        <w:rPr>
          <w:rFonts w:ascii="Times New Roman" w:cs="Times New Roman" w:eastAsia="Times New Roman" w:hAnsi="Times New Roman"/>
          <w:sz w:val="18"/>
          <w:szCs w:val="18"/>
          <w:color w:val="auto"/>
        </w:rPr>
        <w:t>”), the Equal Credit Opportunity Act, the Fair Housing Act, the Truth in Lending Act, the Community Reinvestment Act (the “</w:t>
      </w:r>
      <w:r>
        <w:rPr>
          <w:rFonts w:ascii="Times New Roman" w:cs="Times New Roman" w:eastAsia="Times New Roman" w:hAnsi="Times New Roman"/>
          <w:sz w:val="18"/>
          <w:szCs w:val="18"/>
          <w:b w:val="1"/>
          <w:bCs w:val="1"/>
          <w:color w:val="auto"/>
        </w:rPr>
        <w:t>CRA</w:t>
      </w:r>
      <w:r>
        <w:rPr>
          <w:rFonts w:ascii="Times New Roman" w:cs="Times New Roman" w:eastAsia="Times New Roman" w:hAnsi="Times New Roman"/>
          <w:sz w:val="18"/>
          <w:szCs w:val="18"/>
          <w:color w:val="auto"/>
        </w:rPr>
        <w:t>”), the Home Mortgage Disclosure Act, the Bank Secrecy Act and Title III of the USA Patriot Act, to the extent such laws or regulations apply to the Company or the Bank Subsidiary, as applicable. The Company and the Bank Subsidiary have no knowledge of any facts and circumstances, and have no reason to believe that any facts or circumstances exist, that could cause the Bank Subsidiary (A) to be deemed not to be in satisfactory compliance with the CRA and the regulations promulgated thereunder or to be assigned a CRA rating by federal or state banking regulators of lower than “satisfactory,” or (B) to be deemed to be operating in violation, in any material respect, of the Bank Secrecy Act of 1970 as amended by the Uniting and Strengthening America by Providing Appropriate Tools Required to Intercept and Obstruct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6" w:name="page17"/>
    <w:bookmarkEnd w:id="16"/>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Terrorism Act of 2001 (or otherwise known as the “</w:t>
      </w:r>
      <w:r>
        <w:rPr>
          <w:rFonts w:ascii="Times New Roman" w:cs="Times New Roman" w:eastAsia="Times New Roman" w:hAnsi="Times New Roman"/>
          <w:sz w:val="18"/>
          <w:szCs w:val="18"/>
          <w:b w:val="1"/>
          <w:bCs w:val="1"/>
          <w:color w:val="auto"/>
        </w:rPr>
        <w:t>Currency and Foreign Transactions Reporting Act</w:t>
      </w:r>
      <w:r>
        <w:rPr>
          <w:rFonts w:ascii="Times New Roman" w:cs="Times New Roman" w:eastAsia="Times New Roman" w:hAnsi="Times New Roman"/>
          <w:sz w:val="18"/>
          <w:szCs w:val="18"/>
          <w:color w:val="auto"/>
        </w:rPr>
        <w:t>”), the USA Patriot Act (or otherwise known as “</w:t>
      </w:r>
      <w:r>
        <w:rPr>
          <w:rFonts w:ascii="Times New Roman" w:cs="Times New Roman" w:eastAsia="Times New Roman" w:hAnsi="Times New Roman"/>
          <w:sz w:val="18"/>
          <w:szCs w:val="18"/>
          <w:b w:val="1"/>
          <w:bCs w:val="1"/>
          <w:color w:val="auto"/>
        </w:rPr>
        <w:t>Uniting and Strengthening America by Providing Appropriate Tools Required to Intercept and Obstruct Terrorism Act of 2001</w:t>
      </w:r>
      <w:r>
        <w:rPr>
          <w:rFonts w:ascii="Times New Roman" w:cs="Times New Roman" w:eastAsia="Times New Roman" w:hAnsi="Times New Roman"/>
          <w:sz w:val="18"/>
          <w:szCs w:val="18"/>
          <w:color w:val="auto"/>
        </w:rPr>
        <w:t>”) or any order issued with respect to the Anti-Money Laundering Laws (as defined below). As of December 31, 2025, each of the Company and the Bank Subsidiary met or exceeded the standards necessary to be considered “well capitalized” under the FDIC’s regulatory framework for prompt corrective action. The Bank Subsidiary has a CRA rating of at least “Satisfactory.” The Bank Subsidiary is the only depository institution subsidiary of the Company. The activities of the Bank Subsidiary are permitted under the laws and regulations of the State of Mississippi and the Federal Reserve. Since December 31, 2022, the Company, the Bank Subsidiary and each of its subsidiaries have filed all material reports, registrations and statements, together with any required amendments thereto, that it was required to file with the Federal Reserve, the FDIC, and any other applicable federal or state banking authorities. All such reports and statements filed with any such regulatory body or authority are collectively referred to herein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As of their respective dates, the Company Reports complied as to form in all material respects with all the rules and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Federal Reserve, FDIC and any other applicable federal or state banking authorities, as the case may be.</w:t>
      </w:r>
    </w:p>
    <w:p>
      <w:pPr>
        <w:spacing w:after="0" w:line="186" w:lineRule="exact"/>
        <w:rPr>
          <w:sz w:val="20"/>
          <w:szCs w:val="20"/>
          <w:color w:val="auto"/>
        </w:rPr>
      </w:pPr>
    </w:p>
    <w:p>
      <w:pPr>
        <w:ind w:right="40" w:firstLine="436"/>
        <w:spacing w:after="0" w:line="261" w:lineRule="auto"/>
        <w:tabs>
          <w:tab w:leader="none" w:pos="9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other than those that have been made or obtained, is necessary or required for the authority, execution, delivery or performance by the Company of its obligations under the Operative Documents or the Securities, or the consummation by the Company of the transactions contemplated thereunder, except as may be required under state securities laws.</w:t>
      </w:r>
    </w:p>
    <w:p>
      <w:pPr>
        <w:spacing w:after="0" w:line="179" w:lineRule="exact"/>
        <w:rPr>
          <w:rFonts w:ascii="Times New Roman" w:cs="Times New Roman" w:eastAsia="Times New Roman" w:hAnsi="Times New Roman"/>
          <w:sz w:val="18"/>
          <w:szCs w:val="18"/>
          <w:color w:val="auto"/>
        </w:rPr>
      </w:pPr>
    </w:p>
    <w:p>
      <w:pPr>
        <w:ind w:right="40" w:firstLine="436"/>
        <w:spacing w:after="0" w:line="253"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such permits, licenses, approvals, consents and other authorizations (collectively, “</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issued by the appropriate Governmental Entities that are necessary to conduct their respective businesses as described in the Registration Statement, the Prospectus and the Disclosure Package, and have made all declarations and filings with the appropriate Governmental Entities that are necessary for the conduct of their respective businesses as described in the Registration Statement, the Prospectus and the Disclosure Package, except where the failure to possess such Governmental Licenses or make such declarations or filings would not, individually or in the aggregate, have a Material Adverse Effect. The Company and its subsidiaries are in compliance with the terms and conditions of all such Governmental Licenses, except where the failure so to comply would not, individually or in the aggregate,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have a Material Adverse Effect. None of the Company or any of its subsidiaries has received any written notice of proceedings relating to the revocation or modification of any such Governmental Licenses which would,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10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Except as otherwise disclosed in the Registration Statement, the Prospectus and the Disclosure Package, each of the Company and the Bank Subsidiary is conducting its business in compliance with all laws, rules, regulations, decisions, directives and orders, and all regulations and orders of, or agreements with, Governmental Entities applicable to it, except where failure to so comply would not, individually or in the aggregate, have a Material Adverse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7" w:name="page18"/>
    <w:bookmarkEnd w:id="17"/>
    <w:p>
      <w:pPr>
        <w:ind w:right="140" w:firstLine="436"/>
        <w:spacing w:after="0" w:line="253" w:lineRule="auto"/>
        <w:tabs>
          <w:tab w:leader="none" w:pos="9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Environmental Matters</w:t>
      </w:r>
      <w:r>
        <w:rPr>
          <w:rFonts w:ascii="Times New Roman" w:cs="Times New Roman" w:eastAsia="Times New Roman" w:hAnsi="Times New Roman"/>
          <w:sz w:val="18"/>
          <w:szCs w:val="18"/>
          <w:color w:val="auto"/>
        </w:rPr>
        <w:t>. Each of the Company and its subsidiaries are in compliance with all applicable federal, state and local laws, rules and regulations, and decisions and orders relating to the protection of human health and safety, the environment or hazardous or toxic substances or wastes, pollutants or contaminants, including, without limitation, those applicable to emissions to the environment, waste management and waste disposal (collectively, the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except where such noncompliance would not, individually or in the aggregate, have a Material Adverse Effect, and, to the knowledge of the Company, there are no circumstances that would prevent, interfere with or materially increase the cost of such compliance in the future. There is no claim under any Environmental Law, including common law, pending or, to the knowledge of the Company, threatened against the Company or any of its subsidiaries (an “</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which would have a Material Adverse Effect, and, to the knowledge of the Company, under applicable law, there are no past or present actions, activities, circumstances, events or incidents, including without limitation, releases of any material into the environment, that are reasonably likely to form the basis of any Environmental Claim against the Company or the Bank Subsidiary which would, individually or in the aggregate, have a Material Adverse Effect.</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8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Each of the Company and its subsidiaries has good and marketable title in fee simple to all of its real and personal properties, reflected as owned in the consolidated financial statements or as described in the Prospectus, in each case free and clear of all liens, encumbrances, claims and defects, except as (1) reflected in such consolidated financial statements, (2) do not materially interfere with the use made and proposed to be made of such property by the Company or such subsidiary or (3) which would not, individually or in the aggregate, have a Material Adverse Effect. All of the leases and subleases under which the Company or any of its subsidiaries holds properties used in its business are in full force and effect, except where the failure of such leases and subleases to be in full force and effect would not, individually or in the aggregate, have a Material Adverse Effect. None of the Company or any of its subsidiaries has any notice of any claim of any sort that has been asserted by anyone adverse to the rights of the Company or any of its subsidiaries under any of the leases or subleases mentioned above, or affecting or questioning the rights of such entity to the continued possession of the leased or subleased premises under any such lease or sublease, except any claim that would not, individually or in the aggregate, have a Material Adverse Effect.</w:t>
      </w:r>
    </w:p>
    <w:p>
      <w:pPr>
        <w:spacing w:after="0" w:line="194" w:lineRule="exact"/>
        <w:rPr>
          <w:rFonts w:ascii="Times New Roman" w:cs="Times New Roman" w:eastAsia="Times New Roman" w:hAnsi="Times New Roman"/>
          <w:sz w:val="18"/>
          <w:szCs w:val="18"/>
          <w:color w:val="auto"/>
        </w:rPr>
      </w:pPr>
    </w:p>
    <w:p>
      <w:pPr>
        <w:ind w:firstLine="436"/>
        <w:spacing w:after="0" w:line="254" w:lineRule="auto"/>
        <w:tabs>
          <w:tab w:leader="none" w:pos="9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the Company and its subsidiaries owns or possesses all necessary and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presently employed by it in connection with the business now operated by it or reasonably necessary in order to conduct such business, and none of the Company or any of its subsidiaries has received any notice or is otherwise aware of any infringement of or conflict with asserted rights of others with respect to any Intellectual Property or any facts or circumstances which would render any Intellectual Property invalid or inadequate to protect the interest of the Company or any of its subsidiaries therein, except where the failure to possess such Intellectual Property or where such infringement or conflict (if the subject of any unfavorable decision, ruling or finding) or invalidity or inadequacy, individually or in the aggregate, would not have a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ind w:right="80" w:firstLine="436"/>
        <w:spacing w:after="0" w:line="254"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Times New Roman" w:cs="Times New Roman" w:eastAsia="Times New Roman" w:hAnsi="Times New Roman"/>
          <w:sz w:val="18"/>
          <w:szCs w:val="18"/>
          <w:color w:val="auto"/>
        </w:rPr>
        <w:t>. The Company and each Significant Subsidiary has: (1) timely (after taking account of any governmental orders extending the time for filing) filed all tax returns, information returns, and similar reports that are required to be filed and all such returns are true, correct and complete, and (2) timely paid in full all federal, state, local and foreign taxes required to be paid by it and any other assessment, fine or penalty levied against it, except to the extent any such tax, assessment, fine or penalty that is currently being contested in good faith and for which adequate reserves have been made under GAAP, except where the failure to timely file such tax returns or to timely pay such tax, assessment, fine or penalty would not, individually or in the aggregate, result in a Material Adverse Effect. Giving effect to any applicable extensions and except as otherwise disclosed in the Registration Statement, the Prospectus and the Disclosure Package, there is no material tax deficiency that has been, or could reasonably be expected to be, asserted against the Company or the Bank Subsidiary or any of their respective assets.</w:t>
      </w:r>
    </w:p>
    <w:p>
      <w:pPr>
        <w:spacing w:after="0" w:line="191" w:lineRule="exact"/>
        <w:rPr>
          <w:rFonts w:ascii="Times New Roman" w:cs="Times New Roman" w:eastAsia="Times New Roman" w:hAnsi="Times New Roman"/>
          <w:sz w:val="18"/>
          <w:szCs w:val="18"/>
          <w:color w:val="auto"/>
        </w:rPr>
      </w:pPr>
    </w:p>
    <w:p>
      <w:pPr>
        <w:ind w:right="60" w:firstLine="436"/>
        <w:spacing w:after="0" w:line="256" w:lineRule="auto"/>
        <w:tabs>
          <w:tab w:leader="none" w:pos="10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Bank Subsidiary have insurance covering their respective assets, operations, personnel and businesses, including business interruption insurance, which insurance is in such amounts and insures against such losses and risks as are adequate to protect the Company and the Bank Subsidiary and their respective assets, operations, personnel and businesses; and neither the Company nor the Bank Subsidiary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7" w:lineRule="exact"/>
        <w:rPr>
          <w:rFonts w:ascii="Times New Roman" w:cs="Times New Roman" w:eastAsia="Times New Roman" w:hAnsi="Times New Roman"/>
          <w:sz w:val="18"/>
          <w:szCs w:val="18"/>
          <w:color w:val="auto"/>
        </w:rPr>
      </w:pPr>
    </w:p>
    <w:p>
      <w:pPr>
        <w:ind w:right="140" w:firstLine="436"/>
        <w:spacing w:after="0" w:line="261"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Dividends</w:t>
      </w:r>
      <w:r>
        <w:rPr>
          <w:rFonts w:ascii="Times New Roman" w:cs="Times New Roman" w:eastAsia="Times New Roman" w:hAnsi="Times New Roman"/>
          <w:sz w:val="18"/>
          <w:szCs w:val="18"/>
          <w:color w:val="auto"/>
        </w:rPr>
        <w:t>. No subsidiary of the Company is currently prohibited, directly or indirectly, from paying any dividends to the Company, from making any other distribution on such subsidiary’s capital stock, from transferring any of its property or assets to the Company or any other subsidiary of the Company, or from repaying to the Company any loans or advances to such subsidiary from the Company, except as disclosed in each of the Prospectus and the Disclosure Package.</w:t>
      </w:r>
    </w:p>
    <w:p>
      <w:pPr>
        <w:spacing w:after="0" w:line="179" w:lineRule="exact"/>
        <w:rPr>
          <w:rFonts w:ascii="Times New Roman" w:cs="Times New Roman" w:eastAsia="Times New Roman" w:hAnsi="Times New Roman"/>
          <w:sz w:val="18"/>
          <w:szCs w:val="18"/>
          <w:color w:val="auto"/>
        </w:rPr>
      </w:pPr>
    </w:p>
    <w:p>
      <w:pPr>
        <w:jc w:val="both"/>
        <w:ind w:firstLine="436"/>
        <w:spacing w:after="0" w:line="266" w:lineRule="auto"/>
        <w:tabs>
          <w:tab w:leader="none" w:pos="9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its directors and officers, in their capacities as such, are in compliance in all material respects with all applicable provisions of the Sarbanes-Oxley Act of 2002 and all rules and regulations promulgated thereunder or implementing the provisions thereof with which the Company or any of its directors or officers is required to comply.</w:t>
      </w:r>
    </w:p>
    <w:p>
      <w:pPr>
        <w:spacing w:after="0" w:line="175" w:lineRule="exact"/>
        <w:rPr>
          <w:rFonts w:ascii="Times New Roman" w:cs="Times New Roman" w:eastAsia="Times New Roman" w:hAnsi="Times New Roman"/>
          <w:sz w:val="18"/>
          <w:szCs w:val="18"/>
          <w:color w:val="auto"/>
        </w:rPr>
      </w:pPr>
    </w:p>
    <w:p>
      <w:pPr>
        <w:ind w:right="160" w:firstLine="436"/>
        <w:spacing w:after="0" w:line="255"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Except as disclosed in each of the Prospectus and the Disclosure Package, the Company and its subsidiaries, taken as a whole, maintains a system of internal accounting controls sufficient to provide reasonable assurance that: (1) transactions are executed in accordance with management’s general or specific authorizations; (2) transactions are recorded as necessary to permit preparation of financial statements in conformity with GAAP and to maintain asset accountability; (3) access to assets is permitted only in accordance with management’s general or specific authorization; and (4) the recorded accountability for assets is compared with the existing assets at reasonable intervals and appropriate action is taken with respect to any differences. Except as disclosed in each of the Prospectus and the Disclosure Package, the Company’s internal control over financial reporting is effective in all material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respects, and since the date of the latest audited financial statements included in the Registration Statement, the Prospectus and the Disclosure Package,</w:t>
      </w:r>
    </w:p>
    <w:p>
      <w:pPr>
        <w:spacing w:after="0" w:line="27" w:lineRule="exact"/>
        <w:rPr>
          <w:sz w:val="20"/>
          <w:szCs w:val="20"/>
          <w:color w:val="auto"/>
        </w:rPr>
      </w:pPr>
    </w:p>
    <w:p>
      <w:pPr>
        <w:ind w:left="4" w:right="40" w:hanging="4"/>
        <w:spacing w:after="0" w:line="25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material weaknesses in its internal controls, and (y) there has been no change in the Company’s internal control over financial reporting that has materially affected, or is reasonably likely to materially affect, the Company’s internal control over financial reporting, except for actions taken by the Company since the date of the latest audited financial statements to address the underlying causes of the material weakness in the Company’s internal control over financial reporting as of December 31, 2025 disclosed in the Prospectus and the Disclosure Package (the Company makes no representations as to the materiality of such actions). The Company maintains disclosure controls and procedures (as such term is defined in Rule 13a-15(e) of the 1934 Act Regulations); and such disclosure controls and procedures have been designed to ensure that material information relating to the Company and its subsidiaries is made known to the Company’s principal executive officer and principal financial officer by others within those entities; and except as disclosed in each of the Prospectus and the Disclosure Package, such disclosure controls and procedures are effective. The Company has not become aware of any fraud, whether or not material, that involves management or other employees who have a significant role in the Company’s internal control over financial reporting.</w:t>
      </w:r>
    </w:p>
    <w:p>
      <w:pPr>
        <w:spacing w:after="0" w:line="192" w:lineRule="exact"/>
        <w:rPr>
          <w:rFonts w:ascii="Times New Roman" w:cs="Times New Roman" w:eastAsia="Times New Roman" w:hAnsi="Times New Roman"/>
          <w:sz w:val="18"/>
          <w:szCs w:val="18"/>
          <w:color w:val="auto"/>
        </w:rPr>
      </w:pPr>
    </w:p>
    <w:p>
      <w:pPr>
        <w:ind w:left="4" w:firstLine="436"/>
        <w:spacing w:after="0" w:line="253" w:lineRule="auto"/>
        <w:tabs>
          <w:tab w:leader="none" w:pos="106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Company or its subsidiaries or, to the knowledge of the Company, any director, officer, employee or any agent or other person acting on behalf of the Company or any of its subsidiaries has, in the course of its actions for, or on behalf of, the Company or any of its subsidiaries (1) used any corporate funds for any unlawful contribution, gift, entertainment or other unlawful expenses relating to political activity in violation of the U.S. Foreign Corrupt Practices Act of 1977, as amended, and the rules and regulations thereunder (collectively, the “FCPA”); (2) made any direct or indirect unlawful payment to any domestic government official, “foreign official” (as defined in the FCPA) or employee from corporate funds; (3) violated or is in violation of any provision of the FCPA or any applicable non-U.S. anti-bribery statute or regulation; or (4) made any unlawful bribe, rebate, payoff, influence payment, kickback or other unlawful payment to any domestic government official, such foreign official or employee. The Company has instituted and maintains procedures designed to ensure, and which are reasonably expected to continue to ensure, continued compliance with the FCPA and similar laws, rules and regulations based on the business of the Company as conducted on the date hereof.</w:t>
      </w:r>
    </w:p>
    <w:p>
      <w:pPr>
        <w:spacing w:after="0" w:line="194" w:lineRule="exact"/>
        <w:rPr>
          <w:rFonts w:ascii="Times New Roman" w:cs="Times New Roman" w:eastAsia="Times New Roman" w:hAnsi="Times New Roman"/>
          <w:sz w:val="18"/>
          <w:szCs w:val="18"/>
          <w:color w:val="auto"/>
        </w:rPr>
      </w:pPr>
    </w:p>
    <w:p>
      <w:pPr>
        <w:ind w:left="4" w:right="40" w:firstLine="436"/>
        <w:spacing w:after="0" w:line="273" w:lineRule="auto"/>
        <w:tabs>
          <w:tab w:leader="none" w:pos="111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Money Laundering Laws</w:t>
      </w:r>
      <w:r>
        <w:rPr>
          <w:rFonts w:ascii="Times New Roman" w:cs="Times New Roman" w:eastAsia="Times New Roman" w:hAnsi="Times New Roman"/>
          <w:sz w:val="17"/>
          <w:szCs w:val="17"/>
          <w:color w:val="auto"/>
        </w:rPr>
        <w:t>. Except as otherwise disclosed in the Registration Statement, the Prospectus and the Disclosure Package, the operations of the Company and its subsidiaries are and, to the knowledge of the Company and its subsidiaries, have been conducted at all times in compliance in all material respects with applicable financial recordkeeping and reporting requirements of the Currency and Foreign Transactions Reporting Act,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7"/>
          <w:szCs w:val="17"/>
          <w:b w:val="1"/>
          <w:bCs w:val="1"/>
          <w:color w:val="auto"/>
        </w:rPr>
        <w:t>Money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Laundering 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or its subsidiaries with respect to the Money Laundering Laws is pending or, to the knowledge of the Company or its subsidiaries, threatened.</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20" w:name="page21"/>
    <w:bookmarkEnd w:id="20"/>
    <w:p>
      <w:pPr>
        <w:ind w:firstLine="436"/>
        <w:spacing w:after="0" w:line="266" w:lineRule="auto"/>
        <w:tabs>
          <w:tab w:leader="none" w:pos="10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OFAC</w:t>
      </w:r>
      <w:r>
        <w:rPr>
          <w:rFonts w:ascii="Times New Roman" w:cs="Times New Roman" w:eastAsia="Times New Roman" w:hAnsi="Times New Roman"/>
          <w:sz w:val="18"/>
          <w:szCs w:val="18"/>
          <w:color w:val="auto"/>
        </w:rPr>
        <w:t>. (i) Neither the Company nor any of its subsidiaries nor any affiliate, director, officer, or employee thereof, or, to the Company’s knowledge, any agent or representatives thereof, is an individual or entity that is, or is owned or controlled by one or more individuals or entities that are:</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w:t>
      </w:r>
    </w:p>
    <w:p>
      <w:pPr>
        <w:spacing w:after="0" w:line="27" w:lineRule="exact"/>
        <w:rPr>
          <w:rFonts w:ascii="Times New Roman" w:cs="Times New Roman" w:eastAsia="Times New Roman" w:hAnsi="Times New Roman"/>
          <w:sz w:val="18"/>
          <w:szCs w:val="18"/>
          <w:color w:val="auto"/>
        </w:rPr>
      </w:pPr>
    </w:p>
    <w:p>
      <w:pPr>
        <w:ind w:left="14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His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including, without limitation, being listed on the Specially Designated Nationals List or any similar list maintained by any such authority; or</w:t>
      </w:r>
    </w:p>
    <w:p>
      <w:pPr>
        <w:spacing w:after="0" w:line="91" w:lineRule="exact"/>
        <w:rPr>
          <w:rFonts w:ascii="Times New Roman" w:cs="Times New Roman" w:eastAsia="Times New Roman" w:hAnsi="Times New Roman"/>
          <w:sz w:val="18"/>
          <w:szCs w:val="18"/>
          <w:color w:val="auto"/>
        </w:rPr>
      </w:pPr>
    </w:p>
    <w:p>
      <w:pPr>
        <w:ind w:left="1420" w:right="180" w:hanging="439"/>
        <w:spacing w:after="0" w:line="266" w:lineRule="auto"/>
        <w:tabs>
          <w:tab w:leader="none" w:pos="14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Cuba, Iran, North Korea, the Crimea Region of Ukraine, the so-called Donetsk People’s Republic, the so-called Luhansk People’s Republic or any other Covered Region of Ukraine identified pursuant to Executive Order 14065).</w:t>
      </w:r>
    </w:p>
    <w:p>
      <w:pPr>
        <w:spacing w:after="0" w:line="81" w:lineRule="exact"/>
        <w:rPr>
          <w:rFonts w:ascii="Times New Roman" w:cs="Times New Roman" w:eastAsia="Times New Roman" w:hAnsi="Times New Roman"/>
          <w:sz w:val="18"/>
          <w:szCs w:val="18"/>
          <w:color w:val="auto"/>
        </w:rPr>
      </w:pPr>
    </w:p>
    <w:p>
      <w:pPr>
        <w:ind w:left="960" w:right="140" w:hanging="532"/>
        <w:spacing w:after="0" w:line="312" w:lineRule="auto"/>
        <w:tabs>
          <w:tab w:leader="none" w:pos="9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represents and covenants that it will not, directly or indirectly, use the proceeds of the offering, or lend, contribute or otherwise make available such proceeds to any subsidiary, joint venture partner or other individual or entity:</w:t>
      </w:r>
    </w:p>
    <w:p>
      <w:pPr>
        <w:spacing w:after="0" w:line="45" w:lineRule="exact"/>
        <w:rPr>
          <w:rFonts w:ascii="Times New Roman" w:cs="Times New Roman" w:eastAsia="Times New Roman" w:hAnsi="Times New Roman"/>
          <w:sz w:val="17"/>
          <w:szCs w:val="17"/>
          <w:color w:val="auto"/>
        </w:rPr>
      </w:pPr>
    </w:p>
    <w:p>
      <w:pPr>
        <w:ind w:left="1420" w:right="140" w:hanging="439"/>
        <w:spacing w:after="0" w:line="282" w:lineRule="auto"/>
        <w:tabs>
          <w:tab w:leader="none" w:pos="14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funding or facilitating any activities or business of, or with any individual or entity, or in any country or territory that, at the time of such funding or facilitation, is the subject of Sanctions;</w:t>
      </w:r>
    </w:p>
    <w:p>
      <w:pPr>
        <w:spacing w:after="0" w:line="67" w:lineRule="exact"/>
        <w:rPr>
          <w:rFonts w:ascii="Times New Roman" w:cs="Times New Roman" w:eastAsia="Times New Roman" w:hAnsi="Times New Roman"/>
          <w:sz w:val="18"/>
          <w:szCs w:val="18"/>
          <w:color w:val="auto"/>
        </w:rPr>
      </w:pPr>
    </w:p>
    <w:p>
      <w:pPr>
        <w:ind w:left="1420" w:right="640" w:hanging="439"/>
        <w:spacing w:after="0" w:line="282" w:lineRule="auto"/>
        <w:tabs>
          <w:tab w:leader="none" w:pos="14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individual or entity (including any individual or entity participating in the offering, whether as underwriter, advisor, investor or otherwise); or</w:t>
      </w:r>
    </w:p>
    <w:p>
      <w:pPr>
        <w:spacing w:after="0" w:line="162" w:lineRule="exact"/>
        <w:rPr>
          <w:sz w:val="20"/>
          <w:szCs w:val="20"/>
          <w:color w:val="auto"/>
        </w:rPr>
      </w:pPr>
    </w:p>
    <w:p>
      <w:pPr>
        <w:ind w:right="20" w:firstLine="436"/>
        <w:spacing w:after="0" w:line="266" w:lineRule="auto"/>
        <w:tabs>
          <w:tab w:leader="none" w:pos="7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as required in connection with, the operation of the business of the Company and its subsidiaries as currently conducted, and free and clear of all bugs, errors, defects, Trojan horses, time bombs, malware and other corruptants, except where failure in the adequacy, operation or performance of such IT Systems would not, individually or in the aggregate, result in a Material Adverse Effect. The Company and its subsidiaries have implemented and maintained controls, policies, procedures, and safeguards designed to maintain and protect their confidential information and the integrity, continuous operation, redundancy and security of all IT Systems and data (including all personal,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1" w:name="page22"/>
    <w:bookmarkEnd w:id="21"/>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personally identifiable, sensitive, confidential or regulated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consistent with industry standards and practices, and, to the knowledge of the Company, there have been no breaches, violations, outages or unauthorized uses of or accesses to same, nor any incidents under internal review or investigations relating to the same, except where failure to implement or maintain such controls, policies, procedures and safeguards or the occurrence of breaches, violations, outages or unauthorized uses or access would not, individually or in the aggregate, result in a Material Adverse Effect.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where failure in compliance would not, individually or in the aggregate, result in a Material Adverse Effect.</w:t>
      </w:r>
    </w:p>
    <w:p>
      <w:pPr>
        <w:spacing w:after="0" w:line="192"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Other than the Underwriters, there is no broker, finder or other party that is entitled to receive from the Company or any subsidiary any brokerage or finder’s fee or other fee or commission as a result of any transactions contemplated by this Agreement.</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any of its subsidiaries has taken or will take, directly or indirectly, any action designed to, or that might be reasonably expected to, cause or result in stabilization or manipulation of the price of the Securities.</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Pending Proceedings and Examinations</w:t>
      </w:r>
      <w:r>
        <w:rPr>
          <w:rFonts w:ascii="Times New Roman" w:cs="Times New Roman" w:eastAsia="Times New Roman" w:hAnsi="Times New Roman"/>
          <w:sz w:val="18"/>
          <w:szCs w:val="18"/>
          <w:color w:val="auto"/>
        </w:rPr>
        <w:t>. The Registration Statement is not the subject of a pending proceeding or examination under Section 8(d) or 8(e) of the 1933 Act, and the Company is not the subject of a pending proceeding under Section 8A of the 1933 Act in connection with the offering of the Securities.</w:t>
      </w:r>
    </w:p>
    <w:p>
      <w:pPr>
        <w:spacing w:after="0" w:line="176"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of the Company or its subsidiaries registered by the Company or any other person under the 1933 Act.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Statistical and Market Data</w:t>
      </w:r>
      <w:r>
        <w:rPr>
          <w:rFonts w:ascii="Times New Roman" w:cs="Times New Roman" w:eastAsia="Times New Roman" w:hAnsi="Times New Roman"/>
          <w:sz w:val="18"/>
          <w:szCs w:val="18"/>
          <w:color w:val="auto"/>
        </w:rPr>
        <w:t>. Nothing has come to the attention of the Company that has caused the Company to believe that the statistical and market-related data included in the Registration Statement, the Prospectus or the Disclosure Package is not based on or derived from sources that are reliable or is not accurate in all material respects.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1933 Act and Section 21E of the 1934 Act) contained in the Registration Statement, the Prospectus or the Disclosure Package has been made or reaffirmed without a reasonable basis or has been disclosed other than in good faith.</w:t>
      </w:r>
    </w:p>
    <w:p>
      <w:pPr>
        <w:spacing w:after="0" w:line="176"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(xlvii) </w:t>
      </w:r>
      <w:r>
        <w:rPr>
          <w:rFonts w:ascii="Times New Roman" w:cs="Times New Roman" w:eastAsia="Times New Roman" w:hAnsi="Times New Roman"/>
          <w:sz w:val="17"/>
          <w:szCs w:val="17"/>
          <w:u w:val="single" w:color="auto"/>
          <w:color w:val="auto"/>
        </w:rPr>
        <w:t>Investment Securities</w:t>
      </w:r>
      <w:r>
        <w:rPr>
          <w:rFonts w:ascii="Times New Roman" w:cs="Times New Roman" w:eastAsia="Times New Roman" w:hAnsi="Times New Roman"/>
          <w:sz w:val="17"/>
          <w:szCs w:val="17"/>
          <w:color w:val="auto"/>
        </w:rPr>
        <w:t>. Each of the Company and its subsidiaries has good and marketable title to all securities held by it (except securities sold under repurchase agreements or held in any fiduciary or agency capacity) free and clear of any security interest, mortgage, pledge, lien, charge, encumbrance, claim or equitable right or other restriction of any kind, except to the extent such securities are pledged in the ordinary course of business consistent with past business practices to secure obligations of the Company or any of its subsidiaries and except for such defects in title or security interest, mortgage, pledge, lien, charge, encumbrance, claim or equitable right or other restrictions of any kind that would not, individually or in the aggregate, result in a Material Adverse Effect. Such securities are valued on the books of the Company and its subsidiaries in accordance with GAAP.</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2" w:name="page23"/>
    <w:bookmarkEnd w:id="22"/>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(xlviii) </w:t>
      </w: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Any and all material swaps, caps, floors, futures, forward contracts, option agreements (other than employee stock options) and other derivative financial instruments, contracts or arrangements, whether entered into for the account of the Company or one of its subsidiaries or for the account of a customer of the Company or one of its subsidiaries, were entered into in the ordinary course of business and in accordance with applicable laws, rules, regulations and policies of all applicable regulatory agencies and with counterparties believed to be financially responsible at the time. The Company and each of its subsidiaries have duly performed in all material respects all of their obligations thereunder to the extent that such obligations to perform have accrued. Neither the Company nor any of its subsidiaries, nor, to the knowledge of the Company, any other party thereto, is in breach of its material obligations under any such agreement or arrangement.</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Deposit Insurance/Bank Subsidiary Capitalization</w:t>
      </w:r>
      <w:r>
        <w:rPr>
          <w:rFonts w:ascii="Times New Roman" w:cs="Times New Roman" w:eastAsia="Times New Roman" w:hAnsi="Times New Roman"/>
          <w:sz w:val="18"/>
          <w:szCs w:val="18"/>
          <w:color w:val="auto"/>
        </w:rPr>
        <w:t>. The deposit accounts of the Bank Subsidiary are insured up to the applicable limit by the FDIC, all premiums and assessments required to be paid in connection therewith have been paid when due, and no proceedings for the revocation or termination of such insurance is pending or, to the knowledge of the Company, threatened. The Bank Subsidiary is “well capitalized” as that term is defined at 12 CFR part 6.</w:t>
      </w:r>
    </w:p>
    <w:p>
      <w:pPr>
        <w:spacing w:after="0" w:line="180" w:lineRule="exact"/>
        <w:rPr>
          <w:sz w:val="20"/>
          <w:szCs w:val="20"/>
          <w:color w:val="auto"/>
        </w:rPr>
      </w:pPr>
    </w:p>
    <w:p>
      <w:pPr>
        <w:ind w:right="60" w:firstLine="436"/>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Transactions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off-balance sheet entity which is required to be disclosed in the Registration Statement, the Prospectus and the Disclosure Package (other than as disclosed therein).</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The application of the proceeds received by the Company from the issuance, sale and delivery of the Securities as described in the Registration Statement, the Prospectus and the Disclosure Package will not violate Regulation T, U or X of the Federal Reserve or any other margin lender regulation of the Federal Reserve.</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duly authorized officer of the Company or any of its subsidiaries and delivered to the Representatives or to counsel for the Underwriters shall be deemed a representation and warranty by the Company or the applicable subsidiary, as the case may be, to the Representatives as to the matters covered thereby.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the aggregate principal amount of the Securities set forth opposite the name of such Underwriter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equal to 98.75% of the aggregate principal amount thereof.</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Delivery of the Securities shall be made at the offices of Skadden, Arps, Slate, Meagher &amp; Flom LLP, One Manhattan West, 395 9th Ave, New York, New York 10001, or such other place as may be agreed to by the Representatives and the Company, and payment of the purchase price for the Securities shall be made by the Representatives to the Company by wire transfer of immediately available funds contemporaneous with closing at such place as shall be agreed upon by the Representatives and the Company, no later than 10:00 a.m. (New York City time) on May 7, 2026 or such other time not later than ten (10) business days after such date as shall be agreed upon by the Representatives and the Company (such time and date of payment and delivery being herein called the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3" w:name="page24"/>
    <w:bookmarkEnd w:id="23"/>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understood that each Underwriter has authorized the Representatives, for its account, to accept delivery of, receipt for, and make payment of the purchase price for, the Securities which it has agreed to purchase. KBW and Stephens, individually and not as Representatives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Payment for the Securities purchased by the Underwriters shall be made to the Company by wire transfer of immediately available funds to a bank designated by the Company, against delivery to the Representatives for the respective accounts of the Underwriters of one or more global notes representing the Securities (collectively, the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to be purchased by the Underwriters. The Securities represented by the Global Note shall be in such denominations and registered in such names as the Representatives may request in writing at least one (1) full business day prior to the Closing Time. The Global Note shall be made available for examination by the Representatives not later than 10:00 a.m. (New York City time) on the business day prior to the Closing Time.</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performing its duties under this Agreement, the Underwriters shall be entitled to rely upon any notice, signature or writing that the Underwriters shall in good faith believe to be genuine and to be signed or presented by a proper party or parties. The Underwriters may rely upon any opinions or certificates or other documents delivered by the Company or its counsel or designees to them.</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Underwriters as follows:</w:t>
      </w:r>
    </w:p>
    <w:p>
      <w:pPr>
        <w:spacing w:after="0" w:line="227" w:lineRule="exact"/>
        <w:rPr>
          <w:sz w:val="20"/>
          <w:szCs w:val="20"/>
          <w:color w:val="auto"/>
        </w:rPr>
      </w:pPr>
    </w:p>
    <w:p>
      <w:pPr>
        <w:ind w:firstLine="436"/>
        <w:spacing w:after="0" w:line="253"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Prior to the completion of the distribution of the Securities as contemplated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Agreement (which the Representatives will promptly confirm orally to the Company), the Company will notify the Representatives promptly, and confirm the notice in writing, (i) when any post-effective amendment to the Registration Statement or a new registration statement relating to the Securities shall become effective, or any amendment or supplement to the Disclosure Package or the Prospectus or any amended Prospectus shall have been used or filed, (ii) of the receipt of any comments with respect to the Registration Statement from the Commission, (iii) of any request by the Commission for any amendment to the Registration Statement or the filing of a new registration statement or any amendment or supplement to the Disclosure Package or the Prospectus or any document incorporated therein by reference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8(e) of the 1933 Act concerning the Registration Statement and (v) if the Company becomes the subject of a proceeding under Section 8A of the 1933 Act. With respect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4" w:name="page25"/>
    <w:bookmarkEnd w:id="24"/>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subject to Section 3(e), the Company will comply with the requirements of Rule 430B, will prepare the Prospectus in the form approved by the Representatives, will effect the filings required under Rule 424(b) in the manner and within the time period specified therein (without reliance on Rule 424(b)(8)) and will take such steps as it deems necessary to ascertain promptly whether the Prospectus transmitted for filing under Rule 424(b) under the 1933 Act Regulations was received for filing by the Commission and, in the event that it was not, it will promptly file such Prospectus. The Company will use its commercially reasonable efforts to prevent the issuance of any stop order or other order and, if any stop order or other order is issued, to obtain the lifting thereof as soon as possible. The Company shall pay the required filing fees of the Commission relating to the Securities within the time required by Rule 456(b)(1)(i) of the 1933 Act Regulations without regard to the proviso therein and otherwise in accordance with Rules 456(b) and 457(r) of the 1933 Act Regulations.</w:t>
      </w:r>
    </w:p>
    <w:p>
      <w:pPr>
        <w:spacing w:after="0" w:line="190" w:lineRule="exact"/>
        <w:rPr>
          <w:sz w:val="20"/>
          <w:szCs w:val="20"/>
          <w:color w:val="auto"/>
        </w:rPr>
      </w:pPr>
    </w:p>
    <w:p>
      <w:pPr>
        <w:ind w:right="40" w:firstLine="436"/>
        <w:spacing w:after="0" w:line="257"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will furnish to each Underwriter and counsel for the Underwriters, on request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signed or conformed copies of the Registration Statement and of each amendment thereto (including exhibits filed therewith or incorporated by reference therein and documents incorporated or deemed to be incorporated by reference therein or otherwise deemed to be a part thereof) and signed or conformed copies of all consents and certificates of experts. The copies of the Registration Statement and each amendment thereto furnished to the Representatives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Prospectuses. </w:t>
      </w:r>
      <w:r>
        <w:rPr>
          <w:rFonts w:ascii="Times New Roman" w:cs="Times New Roman" w:eastAsia="Times New Roman" w:hAnsi="Times New Roman"/>
          <w:sz w:val="18"/>
          <w:szCs w:val="18"/>
          <w:color w:val="auto"/>
        </w:rPr>
        <w:t>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is required to be delivered under the 1933 Act, such number of copies of the Prospectus (as amended or supplemented) as such Underwriter may reasonably request, unless, with the prior consent of the Representatives, such delivery requirement can be satisfied by the provisions of Rule 172 of the 1933 Act Regulations.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and Effect of Material Events</w:t>
      </w:r>
      <w:r>
        <w:rPr>
          <w:rFonts w:ascii="Times New Roman" w:cs="Times New Roman" w:eastAsia="Times New Roman" w:hAnsi="Times New Roman"/>
          <w:sz w:val="18"/>
          <w:szCs w:val="18"/>
          <w:color w:val="auto"/>
        </w:rPr>
        <w:t>. The Company will comply with the 1933 Act, the 1933 Act Regulations, the 1934 Act, the 1934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the 1939 Act and the 1939 Act Regulations, as applicable, so as to permit the completion of the distribution of the Securities as contemplated in this Agreement and in the Registration Statement, the Disclosure Package and the Prospectus. Prior to the completion of the distribution of the Securities by the Underwriters, the Company will immediately notify the Representatives, and confirm such notice in writing, of (x) any filing made by the Company of information relating to the offering of the Securities with any securities exchange or any other regulatory body in the United States, and (y) any event or condition that results or is reasonably likely to result in a Material Adverse Change, which (i) makes any statement in the Registration Statement, the Disclosure Package or the Prospectus false or misleading or (ii) which is not disclosed in the Registration Statement, the Disclosure Package or the Prospectus. If, at any time when a prospectus is required by the 1933 Act to be delivered in connection with sales of the Securities, any event shall occur or condition shall exist as a result 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which it is necessary, in the reasonable opinion of the Company, its counsel, the Representatives or counsel to the Underwriters, to amend or supplement the Registration Statement or the Prospectus in order that the Prospectus not include any untrue statement of a material fact or omit to state a material fact necessary in order to make the statements therein in the light of the circumstances existing at the time it is delivered to purchasers not misleading, or if for any other reason it shall be necessary, in the reasonable opinion of the Company, its counsel, the Representatives or counsel to the Underwriters, during such period to amend the Registration Statement or to file a new registration statement or to amend or supplement any preliminary prospectus or the Prospectus to comply with the 1933 Act or the 1933 Act Regulations, the Company will forthwith amend the Registration Statement, file such registration statement and/or amend or supplement such preliminary prospectus or the Prospectus, subject to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so as to correct such untrue statement or omission or effect such compliance, and the Company will furnish to each Underwriter such number of written and electronic copies of such amendment or supplement as such Underwriter may reasonably request. If at any time following the Applicable Time or at any time following the issuance of an Issuer Free Writing Prospectus, any event shall occur or condition shall exist as a result of which the Disclosure Package or such Issuer Free Writing Prospectus, individually or together with other information that is part of the Disclosure Package, as the case may be, conflicted or would conflict with the information contained in the Registration Statement or any other registration statement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the Company’s own expense, the Disclosure Package or such Issuer Free Writing Prospectus, as the case may be, to eliminate or correct such conflict, untrue statement or omission.</w:t>
      </w:r>
    </w:p>
    <w:p>
      <w:pPr>
        <w:spacing w:after="0" w:line="193" w:lineRule="exact"/>
        <w:rPr>
          <w:sz w:val="20"/>
          <w:szCs w:val="20"/>
          <w:color w:val="auto"/>
        </w:rPr>
      </w:pPr>
    </w:p>
    <w:p>
      <w:pPr>
        <w:ind w:right="60" w:firstLine="436"/>
        <w:spacing w:after="0" w:line="255"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to Prospectus or Registration Statement</w:t>
      </w:r>
      <w:r>
        <w:rPr>
          <w:rFonts w:ascii="Times New Roman" w:cs="Times New Roman" w:eastAsia="Times New Roman" w:hAnsi="Times New Roman"/>
          <w:sz w:val="18"/>
          <w:szCs w:val="18"/>
          <w:color w:val="auto"/>
        </w:rPr>
        <w:t>. The Company will advise the Representatives promptly of any notice of its intention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file or prepare any amendment to the Registration Statement or a new registration statement relating to the Securities or any amendment or supplement to any preliminary prospectus or the Prospectus or supplement to the Disclosure Package, and will furnish the Representatives with copies thereof a reasonable amount of time prior to such proposed filing or use, as the case may be, and will not file or use any such document with respect to the Securities without the consent of the Representatives, which consent shall not be unreasonably withheld. Neither the consent of the Representatives, nor the Representatives’ delivery of any such amendment or supplement, shall constitute a waiver of any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For purposes of clarity,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shall not apply to any filings required in order for the Company to comply with its reporting obligations under the 1934 Act or the 1934 Act Regulations.</w:t>
      </w:r>
    </w:p>
    <w:p>
      <w:pPr>
        <w:spacing w:after="0" w:line="184" w:lineRule="exact"/>
        <w:rPr>
          <w:rFonts w:ascii="Times New Roman" w:cs="Times New Roman" w:eastAsia="Times New Roman" w:hAnsi="Times New Roman"/>
          <w:sz w:val="18"/>
          <w:szCs w:val="18"/>
          <w:color w:val="auto"/>
        </w:rPr>
      </w:pPr>
    </w:p>
    <w:p>
      <w:pPr>
        <w:ind w:right="220" w:firstLine="436"/>
        <w:spacing w:after="0" w:line="284"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The Company will not take, directly or indirectly, any action designed to, or that would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Securities.</w:t>
      </w:r>
    </w:p>
    <w:p>
      <w:pPr>
        <w:spacing w:after="0" w:line="158" w:lineRule="exact"/>
        <w:rPr>
          <w:rFonts w:ascii="Times New Roman" w:cs="Times New Roman" w:eastAsia="Times New Roman" w:hAnsi="Times New Roman"/>
          <w:sz w:val="18"/>
          <w:szCs w:val="18"/>
          <w:color w:val="auto"/>
        </w:rPr>
      </w:pPr>
    </w:p>
    <w:p>
      <w:pPr>
        <w:ind w:right="20" w:firstLine="436"/>
        <w:spacing w:after="0" w:line="28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cooperate with the Underwriters and use its commercially reasonable efforts to permit the Securities to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clearance, settlement and trading through the facilities of DTC.</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6" w:name="page27"/>
    <w:bookmarkEnd w:id="26"/>
    <w:p>
      <w:pPr>
        <w:ind w:left="4" w:firstLine="436"/>
        <w:spacing w:after="0" w:line="271" w:lineRule="auto"/>
        <w:tabs>
          <w:tab w:leader="none" w:pos="699"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Compliance</w:t>
      </w:r>
      <w:r>
        <w:rPr>
          <w:rFonts w:ascii="Times New Roman" w:cs="Times New Roman" w:eastAsia="Times New Roman" w:hAnsi="Times New Roman"/>
          <w:sz w:val="17"/>
          <w:szCs w:val="17"/>
          <w:color w:val="auto"/>
        </w:rPr>
        <w:t>. The Company will qualify the Securities for offer and sale under the state securities, or blue sky, laws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jurisdictions as the Representatives shall reasonably request and will continue such qualifications in effect so long as required for the offering and resale of the Securities; provided that the Company shall not be required to (i) qualify as a foreign corporation or other entity or as a dealer in securities in any such jurisdiction where they would not otherwise be required to so qualify, (ii) file any general consent to service of process in any such jurisdiction or</w:t>
      </w:r>
    </w:p>
    <w:p>
      <w:pPr>
        <w:spacing w:after="0" w:line="1" w:lineRule="exact"/>
        <w:rPr>
          <w:rFonts w:ascii="Times New Roman" w:cs="Times New Roman" w:eastAsia="Times New Roman" w:hAnsi="Times New Roman"/>
          <w:sz w:val="17"/>
          <w:szCs w:val="17"/>
          <w:color w:val="auto"/>
        </w:rPr>
      </w:pPr>
    </w:p>
    <w:p>
      <w:pPr>
        <w:ind w:left="4" w:right="280" w:hanging="4"/>
        <w:spacing w:after="0" w:line="255"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themselves to taxation in any such jurisdiction if they are not otherwise so subject. The Company will also supply the Underwriters with such information as is necessary for the determination of the legality of the Securities for investment under the laws of such jurisdiction as the Underwriters may request.</w:t>
      </w:r>
    </w:p>
    <w:p>
      <w:pPr>
        <w:spacing w:after="0" w:line="183"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Obligations</w:t>
      </w:r>
      <w:r>
        <w:rPr>
          <w:rFonts w:ascii="Times New Roman" w:cs="Times New Roman" w:eastAsia="Times New Roman" w:hAnsi="Times New Roman"/>
          <w:sz w:val="18"/>
          <w:szCs w:val="18"/>
          <w:color w:val="auto"/>
        </w:rPr>
        <w:t>. In the event the Company, at any time, or from time to time, shall not have sufficient funds to promptly pay in full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then due and payable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to any indemnified person, the Company shall promptly take such commercially reasonable actions that do not require prior regulatory approval to obtain sufficient funds to pay such amount. If the funds obtained from such actions shall not be sufficient to pay such amount in full (a “</w:t>
      </w:r>
      <w:r>
        <w:rPr>
          <w:rFonts w:ascii="Times New Roman" w:cs="Times New Roman" w:eastAsia="Times New Roman" w:hAnsi="Times New Roman"/>
          <w:sz w:val="18"/>
          <w:szCs w:val="18"/>
          <w:b w:val="1"/>
          <w:bCs w:val="1"/>
          <w:color w:val="auto"/>
        </w:rPr>
        <w:t>Deficiency</w:t>
      </w:r>
      <w:r>
        <w:rPr>
          <w:rFonts w:ascii="Times New Roman" w:cs="Times New Roman" w:eastAsia="Times New Roman" w:hAnsi="Times New Roman"/>
          <w:sz w:val="18"/>
          <w:szCs w:val="18"/>
          <w:color w:val="auto"/>
        </w:rPr>
        <w:t>”), the Company shall promptly take all such further commercially reasonable actions, including obtaining all required regulatory approvals for the Bank Subsidiary to pay a dividend to the Company in the amount of the Deficiency. The Company shall pay the Deficiency to the extent that regulatory authorities approve a dividend from the Bank Subsidiary to the Company, provided that if the dividends from the Bank Subsidiary to the Company are insufficient to pay the Deficiency to any indemnified person, the Company shall remain obligated to (i) pay such Deficiency and (ii) use its commercially reasonable efforts to obtain such additional regulatory approvals for the Bank Subsidiary to pay additional dividends to the Company until the Company has paid the Deficiency in full to any indemnified person.</w:t>
      </w:r>
    </w:p>
    <w:p>
      <w:pPr>
        <w:spacing w:after="0" w:line="188" w:lineRule="exact"/>
        <w:rPr>
          <w:rFonts w:ascii="Times New Roman" w:cs="Times New Roman" w:eastAsia="Times New Roman" w:hAnsi="Times New Roman"/>
          <w:sz w:val="18"/>
          <w:szCs w:val="18"/>
          <w:color w:val="auto"/>
        </w:rPr>
      </w:pPr>
    </w:p>
    <w:p>
      <w:pPr>
        <w:jc w:val="both"/>
        <w:ind w:left="4" w:right="20" w:firstLine="436"/>
        <w:spacing w:after="0" w:line="267" w:lineRule="auto"/>
        <w:tabs>
          <w:tab w:leader="none" w:pos="6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Statement</w:t>
      </w:r>
      <w:r>
        <w:rPr>
          <w:rFonts w:ascii="Times New Roman" w:cs="Times New Roman" w:eastAsia="Times New Roman" w:hAnsi="Times New Roman"/>
          <w:sz w:val="18"/>
          <w:szCs w:val="18"/>
          <w:color w:val="auto"/>
        </w:rPr>
        <w:t>. The Company shall timely file such reports pursuant to the 1934 Act as are necessary in order to make generally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securityholders as soon as practicable an earnings statement for the purposes of, and to provide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is required to be delivered under the 1933 Act (including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where such requirement may be satisfied, with the prior consent of the Representatives, by Rule 172 under the 1933 Act Regulations), will file all documents required to be filed with the Commission by the Company pursuant to the 1934 Act within the time periods required by the 1934 Act and the 1934 Act Regulations.</w:t>
      </w:r>
    </w:p>
    <w:p>
      <w:pPr>
        <w:spacing w:after="0" w:line="179" w:lineRule="exact"/>
        <w:rPr>
          <w:rFonts w:ascii="Times New Roman" w:cs="Times New Roman" w:eastAsia="Times New Roman" w:hAnsi="Times New Roman"/>
          <w:sz w:val="18"/>
          <w:szCs w:val="18"/>
          <w:color w:val="auto"/>
        </w:rPr>
      </w:pPr>
    </w:p>
    <w:p>
      <w:pPr>
        <w:ind w:left="4" w:right="680" w:firstLine="436"/>
        <w:spacing w:after="0" w:line="284" w:lineRule="auto"/>
        <w:tabs>
          <w:tab w:leader="none" w:pos="6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as described in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Prospectus and the Disclosure Package under “Use of Proceeds.”</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4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 Off Agreement</w:t>
      </w:r>
      <w:r>
        <w:rPr>
          <w:rFonts w:ascii="Times New Roman" w:cs="Times New Roman" w:eastAsia="Times New Roman" w:hAnsi="Times New Roman"/>
          <w:sz w:val="18"/>
          <w:szCs w:val="18"/>
          <w:color w:val="auto"/>
        </w:rPr>
        <w:t>. Between the date of this Agreement and the Closing Time, the Company and its subsidiaries will not,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Representatives, directly or indirectly, issue, offer or sell, or enter into any agreement to sell, any debt securities (excluding deposit obligations) of the Company or its subsidiaries, other than the Securities.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68" w:right="499" w:bottom="1440" w:gutter="0" w:footer="0" w:header="0"/>
        </w:sectPr>
      </w:pPr>
    </w:p>
    <w:bookmarkStart w:id="27" w:name="page28"/>
    <w:bookmarkEnd w:id="27"/>
    <w:p>
      <w:pPr>
        <w:ind w:firstLine="436"/>
        <w:spacing w:after="0" w:line="255"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Prospectuses</w:t>
      </w:r>
      <w:r>
        <w:rPr>
          <w:rFonts w:ascii="Times New Roman" w:cs="Times New Roman" w:eastAsia="Times New Roman" w:hAnsi="Times New Roman"/>
          <w:sz w:val="18"/>
          <w:szCs w:val="18"/>
          <w:color w:val="auto"/>
        </w:rPr>
        <w:t>. The Company represents and agrees that, unless it obtains the prior written consent of the Representatives,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Underwriter represents and agrees that, unless it obtains the prior written consent of the Company and the Representatives, it has not made and will not make any offer relating to the Securities that would constitute an “issuer free writing prospectus” (as defined in Rule 433) or that would otherwise constitute a “free writing prospectus” (as defined in Rule 405) required to be filed with the Commission. Any such free writing prospectus consented to by the Company and the Representatives is referred to herein as a “Permitted Free Writing Prospectus.” The Company represents that it has treated, and agrees that it will treat, each Permitted Free Writing Prospectus as an “issuer free writing prospectus” (as defined in Rule 433(h)(i)) and has complied and will comply with the requirements of Rule 433 applicable to any Permitted Free Writing Prospectus, including timely filing with the Commission where required, legending and record keeping.</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Subject to the consent of the Representatives required in the immediately preceding paragraph, the Company will prepare a final term sheet relating solely to the final pricing terms of the Securities and will file such final term sheet within the period required by Rule 433(d)(5)(ii) following the date such final terms have been established for such Securities. Any such final term sheet is an Issuer General Use Free Writing Prospectus and a Permitted Free Writing Prospectus for purposes of this Agreement. Notwithstanding anything to the contrary contained herein, the Company consents to the use by any Underwriter of a free writing prospectus that contains only (a) (i) information describing the preliminary terms of the Securities generally or the Securities specifically or their offering or (ii) information that describes the final terms of the Securities or their offering and that is or is to be included in the final term sheet of the Company contemplated in the first sentence of this paragraph or (b) other customary information that is not “issuer information,” as defined in Rule 433.</w:t>
      </w:r>
    </w:p>
    <w:p>
      <w:pPr>
        <w:spacing w:after="0" w:line="190" w:lineRule="exact"/>
        <w:rPr>
          <w:sz w:val="20"/>
          <w:szCs w:val="20"/>
          <w:color w:val="auto"/>
        </w:rPr>
      </w:pPr>
    </w:p>
    <w:p>
      <w:pPr>
        <w:ind w:right="480" w:firstLine="436"/>
        <w:spacing w:after="0" w:line="284"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NRSRO Rating</w:t>
      </w:r>
      <w:r>
        <w:rPr>
          <w:rFonts w:ascii="Times New Roman" w:cs="Times New Roman" w:eastAsia="Times New Roman" w:hAnsi="Times New Roman"/>
          <w:sz w:val="18"/>
          <w:szCs w:val="18"/>
          <w:color w:val="auto"/>
        </w:rPr>
        <w:t>. The Company will use commercially reasonable efforts to maintain a rating by a “nationally recognized statistical 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as defined in Section 3(a)(62) of the 1934 Act (“</w:t>
      </w:r>
      <w:r>
        <w:rPr>
          <w:rFonts w:ascii="Times New Roman" w:cs="Times New Roman" w:eastAsia="Times New Roman" w:hAnsi="Times New Roman"/>
          <w:sz w:val="18"/>
          <w:szCs w:val="18"/>
          <w:b w:val="1"/>
          <w:bCs w:val="1"/>
          <w:color w:val="auto"/>
        </w:rPr>
        <w:t>NRSRO</w:t>
      </w:r>
      <w:r>
        <w:rPr>
          <w:rFonts w:ascii="Times New Roman" w:cs="Times New Roman" w:eastAsia="Times New Roman" w:hAnsi="Times New Roman"/>
          <w:sz w:val="18"/>
          <w:szCs w:val="18"/>
          <w:color w:val="auto"/>
        </w:rPr>
        <w:t>”) while any Securities remain outstanding.</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3"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all expenses incident to the performance of its obligations under this Agreement, including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printing and filing of the Registration Statement (including financial statements and exhibits) and of each amendment thereto and the cost of obtaining all securities and bank regulatory approvals; (ii) the printing and delivery to the Underwriters of copies of each preliminary prospectus, any Permitted Free Writing Prospectus and the Prospectus and any amendments or supplements thereto and any reasonable and documented costs associated with electronic delivery of any of the foregoing by the Underwriters to investors; (iii) the costs of blue sky qualification (including fees and expenses of Skadden, Arps, Slate, Meagher &amp; Flom LLP, blue sky counsel to the Underwriters, relating thereto) of the Securities in the various jurisdictions; (iv) the costs, fees and expenses incurred by the Underwriters in connection with determining their compliance with the rules and regulations of FINRA related to the Underwriters’ participation in the offering and distribution of the Securities, including any related filing fees and reasonable legal fees of, and disbursements by, counsel to the Underwriters; (v) all fees and disbursements of the Company’s counsel, accountants, agents and other advisors; (vi) the preparation, issuance and delivery of the certificates for the Securities, including filing fees and the fees and expenses of making the Securities eligible for clearance, settlement and trading through the facilities of DTC; (vii) the fees and disbursements of the Trustee and its counsel; (viii) the costs and expenses of the Company relating to marketing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syndication, including investor presentations on any “road show” undertaken in connection with the marketing of the Securities; (ix) any fees payable in connection with the rating of the Securities; (x) all fees and expenses incurred by the Underwriters in connection with their services to be rendered hereunder including, without limitation, road show or investor presentation expenses, word processing charges, the costs of printing or producing any investor presentation materials, messenger and duplicating service expenses, facsimile expenses and other customary expenditures; and (xi) the reasonable legal fees and expenses (including fees and disbursements of the counsel for the Underwriters), and the travel expenses that are incurred by the Underwriters. Notwithstanding the foregoing, the Company’s obligation to reimburse the Underwriters’ fees and expenses pursuant to </w:t>
      </w:r>
      <w:r>
        <w:rPr>
          <w:rFonts w:ascii="Times New Roman" w:cs="Times New Roman" w:eastAsia="Times New Roman" w:hAnsi="Times New Roman"/>
          <w:sz w:val="18"/>
          <w:szCs w:val="18"/>
          <w:u w:val="single" w:color="auto"/>
          <w:color w:val="auto"/>
        </w:rPr>
        <w:t>Sections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shall be limited to an aggregate amount of $258,774. In the event any Underwriter incurs any such fees and expenses on behalf of the Company, the Company will reimburse such Underwriter for such reasonable and documented fees and expenses whether or not the transactions contemplated hereby are consummated. It is understood, however, that, except as provided in this Section,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10(c)</w:t>
      </w:r>
      <w:r>
        <w:rPr>
          <w:rFonts w:ascii="Times New Roman" w:cs="Times New Roman" w:eastAsia="Times New Roman" w:hAnsi="Times New Roman"/>
          <w:sz w:val="18"/>
          <w:szCs w:val="18"/>
          <w:color w:val="auto"/>
        </w:rPr>
        <w:t xml:space="preserve"> hereof, the Underwriters will pay all of their own costs and expenses, including transfer taxes on resale of any of the Securities by them and the cost of preparing and distributing any term sheet prepared by any Underwriter.</w:t>
      </w:r>
    </w:p>
    <w:p>
      <w:pPr>
        <w:spacing w:after="0" w:line="190" w:lineRule="exact"/>
        <w:rPr>
          <w:sz w:val="20"/>
          <w:szCs w:val="20"/>
          <w:color w:val="auto"/>
        </w:rPr>
      </w:pPr>
    </w:p>
    <w:p>
      <w:pPr>
        <w:ind w:right="180" w:firstLine="436"/>
        <w:spacing w:after="0" w:line="267"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If this Agreement is terminated by the Representatives in accordance with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the Company shall reimburse the Underwriters for all of their out-of-pocket expenses, including the reasonable and documented fees and disbursements of counsel for the Underwriters.</w:t>
      </w:r>
    </w:p>
    <w:p>
      <w:pPr>
        <w:spacing w:after="0" w:line="171" w:lineRule="exact"/>
        <w:rPr>
          <w:sz w:val="20"/>
          <w:szCs w:val="20"/>
          <w:color w:val="auto"/>
        </w:rPr>
      </w:pPr>
    </w:p>
    <w:p>
      <w:pPr>
        <w:jc w:val="both"/>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and warranties of the Company contained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or in certificates of any officer of the Company or any of its subsidiaries delivered pursuant to the provisions hereof, to the performance by the Company of its obligations hereunder required to be performed prior to Closing Time, and to the following further conditions:</w:t>
      </w:r>
    </w:p>
    <w:p>
      <w:pPr>
        <w:spacing w:after="0" w:line="178" w:lineRule="exact"/>
        <w:rPr>
          <w:sz w:val="20"/>
          <w:szCs w:val="20"/>
          <w:color w:val="auto"/>
        </w:rPr>
      </w:pPr>
    </w:p>
    <w:p>
      <w:pPr>
        <w:ind w:right="40" w:firstLine="436"/>
        <w:spacing w:after="0" w:line="256"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Prospectus</w:t>
      </w:r>
      <w:r>
        <w:rPr>
          <w:rFonts w:ascii="Times New Roman" w:cs="Times New Roman" w:eastAsia="Times New Roman" w:hAnsi="Times New Roman"/>
          <w:sz w:val="18"/>
          <w:szCs w:val="18"/>
          <w:color w:val="auto"/>
        </w:rPr>
        <w:t>. The Prospectus containing the Rule 430B Information shall have been filed with the Commission in the manner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the time period required by Rule 424(b) (without reliance on Rule 424(b)(8)) (or a post-effective amendment providing such information shall have been filed and become effective in accordance with the requirements of Rule 430B); all materials required to be filed by the Company pursuant to Rule 433(d) under the 1933 Act shall have been filed with the Commission within the applicable time period prescribed for such filing by Rule 433 under the 1933 Act. The Registration Statement is effective and no stop order or other order referred to in </w:t>
      </w:r>
      <w:r>
        <w:rPr>
          <w:rFonts w:ascii="Times New Roman" w:cs="Times New Roman" w:eastAsia="Times New Roman" w:hAnsi="Times New Roman"/>
          <w:sz w:val="18"/>
          <w:szCs w:val="18"/>
          <w:u w:val="single" w:color="auto"/>
          <w:color w:val="auto"/>
        </w:rPr>
        <w:t>Section 3(a)(iv)</w:t>
      </w:r>
      <w:r>
        <w:rPr>
          <w:rFonts w:ascii="Times New Roman" w:cs="Times New Roman" w:eastAsia="Times New Roman" w:hAnsi="Times New Roman"/>
          <w:sz w:val="18"/>
          <w:szCs w:val="18"/>
          <w:color w:val="auto"/>
        </w:rPr>
        <w:t xml:space="preserve"> hereof shall have been issued and no proceeding for that purpose shall have been initiated or are pending or threatened; and all requests for additional information on the part of the Commission shall have been complied with to the Representatives’ satisfaction.</w:t>
      </w:r>
    </w:p>
    <w:p>
      <w:pPr>
        <w:spacing w:after="0" w:line="182"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At the Closing Time, the Representatives shall have received the favorable opinions in substantially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annexed hereto as Annex A of Phelps Dunbar LLP, counsel for the Company, in form and substance reasonably satisfactory to counsel for the Underwriters. Such counsel may state that, insofar as its opinion involves factual matters, it has relied, to the extent it deems proper, upon certificates of officers of the Company or the Bank Subsidiary and public officials.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29" w:name="page30"/>
    <w:bookmarkEnd w:id="29"/>
    <w:p>
      <w:pPr>
        <w:ind w:left="-20" w:right="140" w:firstLine="436"/>
        <w:spacing w:after="0" w:line="261"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for the Underwriters</w:t>
      </w:r>
      <w:r>
        <w:rPr>
          <w:rFonts w:ascii="Times New Roman" w:cs="Times New Roman" w:eastAsia="Times New Roman" w:hAnsi="Times New Roman"/>
          <w:sz w:val="18"/>
          <w:szCs w:val="18"/>
          <w:color w:val="auto"/>
        </w:rPr>
        <w:t>. At the Closing Time, the Representatives shall have received the favorable opinion,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of Skadden, Arps, Slate, Meagher &amp; Flom LLP, counsel for the Underwriters, with respect to such matters as the Representatives may reasonably require. Such counsel may also state that, insofar as such opinion involves factual matters, they have relied, to the extent they deem proper, upon certificates of officers of the Company or the Bank Subsidiary and public officials.</w:t>
      </w:r>
    </w:p>
    <w:p>
      <w:pPr>
        <w:spacing w:after="0" w:line="179" w:lineRule="exact"/>
        <w:rPr>
          <w:rFonts w:ascii="Times New Roman" w:cs="Times New Roman" w:eastAsia="Times New Roman" w:hAnsi="Times New Roman"/>
          <w:sz w:val="18"/>
          <w:szCs w:val="18"/>
          <w:color w:val="auto"/>
        </w:rPr>
      </w:pPr>
    </w:p>
    <w:p>
      <w:pPr>
        <w:ind w:left="-20" w:firstLine="436"/>
        <w:spacing w:after="0" w:line="257"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At the Closing Time, there shall not have been, since the date hereof or since the respective dates as of which information is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Registration Statement, the Prospectus or the Disclosure Package, any Material Adverse Effect, and the Representatives shall have received a certificate of the President and Chief Executive Officer of the Company and of the Chief Financial Officer of the Company, dated the Closing Time, to the effect that (i) there has been no such Material Adverse Effect, (ii) the representations and warranties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were true and correct when made and are true and correct with the same force and effect as though expressly made at and as of the Closing Time, and (iii) the Company has complied with all agreements and satisfied all conditions on its part to be performed or satisfied at or prior to the Closing Time.</w:t>
      </w:r>
    </w:p>
    <w:p>
      <w:pPr>
        <w:spacing w:after="0" w:line="182" w:lineRule="exact"/>
        <w:rPr>
          <w:rFonts w:ascii="Times New Roman" w:cs="Times New Roman" w:eastAsia="Times New Roman" w:hAnsi="Times New Roman"/>
          <w:sz w:val="18"/>
          <w:szCs w:val="18"/>
          <w:color w:val="auto"/>
        </w:rPr>
      </w:pPr>
    </w:p>
    <w:p>
      <w:pPr>
        <w:ind w:left="-20" w:firstLine="436"/>
        <w:spacing w:after="0" w:line="258"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Auditors’ Comfort Letter</w:t>
      </w:r>
      <w:r>
        <w:rPr>
          <w:rFonts w:ascii="Times New Roman" w:cs="Times New Roman" w:eastAsia="Times New Roman" w:hAnsi="Times New Roman"/>
          <w:sz w:val="18"/>
          <w:szCs w:val="18"/>
          <w:color w:val="auto"/>
        </w:rPr>
        <w:t>. At the time of the execution of this Agreement, the Representatives shall have received a letter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BDO USA, P.C., dated such date, in form and substance reasonably satisfactory to the Underwriters, containing statements and information of the type ordinarily included in accountants’ “comfort letters” to underwriters with respect to the financial statements and financial and accounting information included in the Registration Statement, the Prospectus and the Disclosure Package and the specified date referred to therein shall be a date not more than two (2) business days prior to the date of this Agreement.</w:t>
      </w:r>
    </w:p>
    <w:p>
      <w:pPr>
        <w:spacing w:after="0" w:line="183" w:lineRule="exact"/>
        <w:rPr>
          <w:rFonts w:ascii="Times New Roman" w:cs="Times New Roman" w:eastAsia="Times New Roman" w:hAnsi="Times New Roman"/>
          <w:sz w:val="18"/>
          <w:szCs w:val="18"/>
          <w:color w:val="auto"/>
        </w:rPr>
      </w:pPr>
    </w:p>
    <w:p>
      <w:pPr>
        <w:ind w:left="-20" w:right="100" w:firstLine="436"/>
        <w:spacing w:after="0" w:line="267" w:lineRule="auto"/>
        <w:tabs>
          <w:tab w:leader="none" w:pos="6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BDO USA P.C. a letter, dated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the effect that they reaffirm the statements made in the letter furnished pursuant to subsection (e) of this Section, except that the specified date referred to therein shall be a date not more than two (2) business days prior to the Closing Time.</w:t>
      </w:r>
    </w:p>
    <w:p>
      <w:pPr>
        <w:spacing w:after="0" w:line="173" w:lineRule="exact"/>
        <w:rPr>
          <w:rFonts w:ascii="Times New Roman" w:cs="Times New Roman" w:eastAsia="Times New Roman" w:hAnsi="Times New Roman"/>
          <w:sz w:val="18"/>
          <w:szCs w:val="18"/>
          <w:color w:val="auto"/>
        </w:rPr>
      </w:pPr>
    </w:p>
    <w:p>
      <w:pPr>
        <w:ind w:left="-20" w:right="140" w:firstLine="436"/>
        <w:spacing w:after="0" w:line="267"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 of Chief Financial Officer</w:t>
      </w:r>
      <w:r>
        <w:rPr>
          <w:rFonts w:ascii="Times New Roman" w:cs="Times New Roman" w:eastAsia="Times New Roman" w:hAnsi="Times New Roman"/>
          <w:sz w:val="18"/>
          <w:szCs w:val="18"/>
          <w:color w:val="auto"/>
        </w:rPr>
        <w:t>. At the time of execution of this Agreement and at the Closing Time, the Representatives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certificate, dated, respectively, the date hereof and such Closing Time, executed by the Chief Financial Officer of the Company, in form and substance satisfactory to the Representatives.</w:t>
      </w:r>
    </w:p>
    <w:p>
      <w:pPr>
        <w:spacing w:after="0" w:line="173" w:lineRule="exact"/>
        <w:rPr>
          <w:rFonts w:ascii="Times New Roman" w:cs="Times New Roman" w:eastAsia="Times New Roman" w:hAnsi="Times New Roman"/>
          <w:sz w:val="18"/>
          <w:szCs w:val="18"/>
          <w:color w:val="auto"/>
        </w:rPr>
      </w:pPr>
    </w:p>
    <w:p>
      <w:pPr>
        <w:jc w:val="both"/>
        <w:ind w:left="-20" w:firstLine="436"/>
        <w:spacing w:after="0" w:line="281" w:lineRule="auto"/>
        <w:tabs>
          <w:tab w:leader="none" w:pos="6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Ratings</w:t>
      </w:r>
      <w:r>
        <w:rPr>
          <w:rFonts w:ascii="Times New Roman" w:cs="Times New Roman" w:eastAsia="Times New Roman" w:hAnsi="Times New Roman"/>
          <w:sz w:val="17"/>
          <w:szCs w:val="17"/>
          <w:color w:val="auto"/>
        </w:rPr>
        <w:t>. At the Closing Time, the Securities will be rated at least BBB by Kroll Bond Rating Agency, Inc. Subsequent to the execution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there shall not have occurred a downgrading in or withdrawal of the rating assigned to the Securities or any other securities of the Company by any NRSRO, and no such organization shall have publicly announced that it has under surveillance or review, or has changed its outlook with respect to, its rating of the Securities or any other securities of the Company (other than an announcement with positive implications of a possible upgrading).</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60" w:top="268" w:right="479" w:bottom="1440" w:gutter="0" w:footer="0" w:header="0"/>
        </w:sectPr>
      </w:pPr>
    </w:p>
    <w:bookmarkStart w:id="30" w:name="page31"/>
    <w:bookmarkEnd w:id="30"/>
    <w:p>
      <w:pPr>
        <w:ind w:left="660" w:hanging="224"/>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DTC</w:t>
      </w:r>
      <w:r>
        <w:rPr>
          <w:rFonts w:ascii="Times New Roman" w:cs="Times New Roman" w:eastAsia="Times New Roman" w:hAnsi="Times New Roman"/>
          <w:sz w:val="18"/>
          <w:szCs w:val="18"/>
          <w:color w:val="auto"/>
        </w:rPr>
        <w:t>. At the Closing Time, the Securities shall be eligible for clearance, settlement and trading through the facilities of DTC.</w:t>
      </w:r>
    </w:p>
    <w:p>
      <w:pPr>
        <w:spacing w:after="0" w:line="225" w:lineRule="exact"/>
        <w:rPr>
          <w:rFonts w:ascii="Times New Roman" w:cs="Times New Roman" w:eastAsia="Times New Roman" w:hAnsi="Times New Roman"/>
          <w:sz w:val="18"/>
          <w:szCs w:val="18"/>
          <w:color w:val="auto"/>
        </w:rPr>
      </w:pPr>
    </w:p>
    <w:p>
      <w:pPr>
        <w:ind w:firstLine="436"/>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If applicable, FINRA shall have raised no objection with respect to the fairness and reasonableness of the underwriting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which objection has not been withdrawn or otherwise satisfied.</w:t>
      </w:r>
    </w:p>
    <w:p>
      <w:pPr>
        <w:spacing w:after="0" w:line="158" w:lineRule="exact"/>
        <w:rPr>
          <w:rFonts w:ascii="Times New Roman" w:cs="Times New Roman" w:eastAsia="Times New Roman" w:hAnsi="Times New Roman"/>
          <w:sz w:val="18"/>
          <w:szCs w:val="18"/>
          <w:color w:val="auto"/>
        </w:rPr>
      </w:pPr>
    </w:p>
    <w:p>
      <w:pPr>
        <w:ind w:right="600" w:firstLine="436"/>
        <w:spacing w:after="0" w:line="284"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w:t>
      </w:r>
      <w:r>
        <w:rPr>
          <w:rFonts w:ascii="Times New Roman" w:cs="Times New Roman" w:eastAsia="Times New Roman" w:hAnsi="Times New Roman"/>
          <w:sz w:val="18"/>
          <w:szCs w:val="18"/>
          <w:color w:val="auto"/>
        </w:rPr>
        <w:t>. The Company shall have complied with the provisions hereof with respect to the furnishing of prospectuses,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or printed format, on the New York business day next succeeding the date of this Agreement.</w:t>
      </w:r>
    </w:p>
    <w:p>
      <w:pPr>
        <w:spacing w:after="0" w:line="158" w:lineRule="exact"/>
        <w:rPr>
          <w:rFonts w:ascii="Times New Roman" w:cs="Times New Roman" w:eastAsia="Times New Roman" w:hAnsi="Times New Roman"/>
          <w:sz w:val="18"/>
          <w:szCs w:val="18"/>
          <w:color w:val="auto"/>
        </w:rPr>
      </w:pPr>
    </w:p>
    <w:p>
      <w:pPr>
        <w:jc w:val="both"/>
        <w:ind w:right="60" w:firstLine="436"/>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Impediment to Issuance</w:t>
      </w:r>
      <w:r>
        <w:rPr>
          <w:rFonts w:ascii="Times New Roman" w:cs="Times New Roman" w:eastAsia="Times New Roman" w:hAnsi="Times New Roman"/>
          <w:sz w:val="18"/>
          <w:szCs w:val="18"/>
          <w:color w:val="auto"/>
        </w:rPr>
        <w:t>. 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Governmental Entity that would, as of the Closing Time, prevent the offer, issuance or sale of the Securities; and no injunction or order of any federal, state or foreign court shall have been issued that would, as of the Closing Time, prevent the issuance or sale of the Securities.</w:t>
      </w:r>
    </w:p>
    <w:p>
      <w:pPr>
        <w:spacing w:after="0" w:line="173" w:lineRule="exact"/>
        <w:rPr>
          <w:rFonts w:ascii="Times New Roman" w:cs="Times New Roman" w:eastAsia="Times New Roman" w:hAnsi="Times New Roman"/>
          <w:sz w:val="18"/>
          <w:szCs w:val="18"/>
          <w:color w:val="auto"/>
        </w:rPr>
      </w:pPr>
    </w:p>
    <w:p>
      <w:pPr>
        <w:ind w:right="460" w:firstLine="436"/>
        <w:spacing w:after="0" w:line="284" w:lineRule="auto"/>
        <w:tabs>
          <w:tab w:leader="none" w:pos="7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Event</w:t>
      </w:r>
      <w:r>
        <w:rPr>
          <w:rFonts w:ascii="Times New Roman" w:cs="Times New Roman" w:eastAsia="Times New Roman" w:hAnsi="Times New Roman"/>
          <w:sz w:val="18"/>
          <w:szCs w:val="18"/>
          <w:color w:val="auto"/>
        </w:rPr>
        <w:t>. On or after the date hereof, there shall not have occurred any of the events, circumstances or occurrences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counsel for the Underwriters shall have been furnished with such documents and opinions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require for the purpose of enabling them to pass upon the issuance and sale of the Securities as herein contemplated, or in order to evidence the accuracy of any of the representations or warranties of the Company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w:t>
      </w:r>
    </w:p>
    <w:p>
      <w:pPr>
        <w:spacing w:after="0" w:line="183"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may be terminated by the Representatives by notice to the Company at any time at or prior to the Closing Time, and such termination shall be without liability of any party to any other party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except that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hereof shall survive any such termination and remain in full force and effect.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60" w:firstLine="436"/>
        <w:spacing w:after="0" w:line="290" w:lineRule="auto"/>
        <w:tabs>
          <w:tab w:leader="none" w:pos="68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Underwriters</w:t>
      </w:r>
      <w:r>
        <w:rPr>
          <w:rFonts w:ascii="Times New Roman" w:cs="Times New Roman" w:eastAsia="Times New Roman" w:hAnsi="Times New Roman"/>
          <w:sz w:val="17"/>
          <w:szCs w:val="17"/>
          <w:color w:val="auto"/>
        </w:rPr>
        <w:t>. The Company agrees to indemnify and hold harmless each Underwriter, their respective affiliates (as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is defined in Rule 405 of the 1933 Act Regulations), partners, directors, officers, employees and agents and each person, if any, who controls (within the meaning of Section 15 of the 1933 Act or Section 20 of the 1934 Act) any Underwriter (each such person, a “</w:t>
      </w:r>
      <w:r>
        <w:rPr>
          <w:rFonts w:ascii="Times New Roman" w:cs="Times New Roman" w:eastAsia="Times New Roman" w:hAnsi="Times New Roman"/>
          <w:sz w:val="17"/>
          <w:szCs w:val="17"/>
          <w:b w:val="1"/>
          <w:bCs w:val="1"/>
          <w:color w:val="auto"/>
        </w:rPr>
        <w:t>controlling person</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80" w:firstLine="436"/>
        <w:spacing w:after="0" w:line="25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 any untrue statement or alleged untrue statement of a material fact included in the Registration Statement (or any amendment thereto) or the omission or alleged omission therefrom of a material fact required to be stated therein or necessary to make the statements therein not misleading or (B) any untrue statement or alleged untrue statement of a material fact included in any preliminary prospectus, the Disclosure Package, the Prospectus or any Issuer Free Writing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31" w:name="page32"/>
    <w:bookmarkEnd w:id="31"/>
    <w:p>
      <w:pPr>
        <w:jc w:val="both"/>
        <w:ind w:right="100" w:firstLine="436"/>
        <w:spacing w:after="0" w:line="261" w:lineRule="auto"/>
        <w:tabs>
          <w:tab w:leader="none" w:pos="7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hereof) any such settlement is effected with the written consent of the Company; and</w:t>
      </w:r>
    </w:p>
    <w:p>
      <w:pPr>
        <w:spacing w:after="0" w:line="179" w:lineRule="exact"/>
        <w:rPr>
          <w:rFonts w:ascii="Times New Roman" w:cs="Times New Roman" w:eastAsia="Times New Roman" w:hAnsi="Times New Roman"/>
          <w:sz w:val="18"/>
          <w:szCs w:val="18"/>
          <w:color w:val="auto"/>
        </w:rPr>
      </w:pPr>
    </w:p>
    <w:p>
      <w:pPr>
        <w:ind w:right="320" w:firstLine="436"/>
        <w:spacing w:after="0" w:line="261" w:lineRule="auto"/>
        <w:tabs>
          <w:tab w:leader="none" w:pos="7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the Representatives), reasonably incurred in investigating, preparing or defending against any litigation, or any investigation or proceeding by or before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the Underwriters through the Representatives expressly for inclusion in any preliminary prospectus, any Issuer Free Writing Prospectus or the Prospectus (or any amendment or supplement thereto) and the parties hereto agree that such information consists only of the following: the discount and commission information appearing in the Prospectus under the heading “Underwriting (Conflicts of Interest)” and the information relating to overallotment, stabilizing transactions and syndicate covering transactions in the first paragraph under the caption “Underwriting (Conflicts of Interest) —Stabilization” in each of the preliminary prospectus and the Prospectus (collectively, the “</w:t>
      </w:r>
      <w:r>
        <w:rPr>
          <w:rFonts w:ascii="Times New Roman" w:cs="Times New Roman" w:eastAsia="Times New Roman" w:hAnsi="Times New Roman"/>
          <w:sz w:val="18"/>
          <w:szCs w:val="18"/>
          <w:b w:val="1"/>
          <w:bCs w:val="1"/>
          <w:color w:val="auto"/>
        </w:rPr>
        <w:t>Underwriters’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36"/>
        <w:spacing w:after="0" w:line="257"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Each Underwriter, severally and not jointly,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as incurred, but only with respect to, arising out of or based on untrue statements or omissions, or alleged untrue statements or omissions, made in the Registration Statement, any preliminary prospectus, any Issuer Free Writing Prospectus or the Prospectus in conformity with the Underwriters’ Information provided by such Underwriter.</w:t>
      </w:r>
    </w:p>
    <w:p>
      <w:pPr>
        <w:spacing w:after="0" w:line="182" w:lineRule="exact"/>
        <w:rPr>
          <w:rFonts w:ascii="Times New Roman" w:cs="Times New Roman" w:eastAsia="Times New Roman" w:hAnsi="Times New Roman"/>
          <w:sz w:val="18"/>
          <w:szCs w:val="18"/>
          <w:color w:val="auto"/>
        </w:rPr>
      </w:pPr>
    </w:p>
    <w:p>
      <w:pPr>
        <w:ind w:firstLine="436"/>
        <w:spacing w:after="0" w:line="257"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An indemnifying party may participate at its own expense in the defense of any such action or, if it so elects within a reasonable time after receipt of such notice, to assume the defense of any suit brought to enforce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claim; but if it so elects to assume the defense, such defense shall be conducted by counsel chosen by it and approved by the indemnified parties, which approval shall not be unreasonably withheld, conditioned or delayed. In the event that an indemnifying party elects to assume the defense of any such suit and retain such counsel, the indemnified party or parties shall bear the fees and expenses of any additional counsel thereafter retained by such indemnified party or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indemnified party or parties shall have the right to employ counsel (in addition to local counsel) to represent the indemnified party or parties who may be subject to liability arising out of any action in respect of which indemnity may be sought against the indemnifying party if,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or (iii) in the reasonable judgment of outside counsel for the indemnified party or parties, there may be legal defenses available to such indemnified person which are different from or in addition to those available to such indemnifying person, in which event the reasonable fees and expenses of appropriate separate counsel shall be borne by the indemnifying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(which consent shall not be unreasonably withheld, conditioned or delayed), settle or compromise or consent to the entry of any judgment with respect to any litigation, or any investigation or proceeding by or before any governmental agency or body, commenced or threatened, or any claim whatsoever in respect of which indemnification or contribution could be sought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negligence, culpability or a failure to act by or on behalf of any indemnified party.</w:t>
      </w:r>
    </w:p>
    <w:p>
      <w:pPr>
        <w:spacing w:after="0" w:line="189" w:lineRule="exact"/>
        <w:rPr>
          <w:sz w:val="20"/>
          <w:szCs w:val="20"/>
          <w:color w:val="auto"/>
        </w:rPr>
      </w:pPr>
    </w:p>
    <w:p>
      <w:pPr>
        <w:ind w:firstLine="436"/>
        <w:spacing w:after="0" w:line="257"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Settlement without Consent if Failure to Reimburse. </w:t>
      </w:r>
      <w:r>
        <w:rPr>
          <w:rFonts w:ascii="Times New Roman" w:cs="Times New Roman" w:eastAsia="Times New Roman" w:hAnsi="Times New Roman"/>
          <w:sz w:val="18"/>
          <w:szCs w:val="18"/>
          <w:color w:val="auto"/>
        </w:rPr>
        <w:t>If at any time an indemnified party shall have validly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such indemnified party in accordance with such request prior to the date of such settlement.</w:t>
      </w:r>
    </w:p>
    <w:p>
      <w:pPr>
        <w:spacing w:after="0" w:line="180"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under which the indemnification provided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Section 6 hereof is for any reason held to be unavailable to an indemnified party or insufficient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liabilities, claims, damages or expenses, as well as any other relevant equitable considerations.</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total underwriting discounts and commissions received by the Underwriters, in each case as set forth on the cover of the Prospectus, bears to the aggregate initial offering price of the Securities as set forth on the cover of the Prospectus.</w:t>
      </w:r>
    </w:p>
    <w:p>
      <w:pPr>
        <w:spacing w:after="0" w:line="183"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statements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were determined by pro rata allocation (even if the Underwriters were treated as one entity for such purpose) or by any other method of allocation which does not take account of the equitable considerations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aggregate amount of losses, liabilities, claims, damages and expenses incurred by an indemnified party and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amount by which the total underwriting discounts and commissions received by it exceeds the amount of any damages which such Underwriter has otherwise been required to pay by reason of such untrue or alleged untrue statement or omission or alleged omission.</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7, each person, if any, who controls an Underwriter within the meaning of Section 15 of the 1933 Act or Section 20 of the 1934 Act and the respective partners, directors, officers, employees and agents of such Underwriter or any such controlling person shall have the same rights to contribution as such Underwriter, while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obligations of the Underwriters in this Section 7 to contribute are several in proportion to their respective underwriting obligations and not joint.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4" w:name="page35"/>
    <w:bookmarkEnd w:id="34"/>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All representations, warranties and agreements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in certificates of officers of the Company or its subsidiaries submitted pursuant hereto shall remain operative and in full force and effect, regardless of any investigation made by or on behalf of any Underwriter or controlling person, or by or on behalf of the Company, and shall survive delivery of the Securities to the Underwriters.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2"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General</w:t>
      </w:r>
      <w:r>
        <w:rPr>
          <w:rFonts w:ascii="Times New Roman" w:cs="Times New Roman" w:eastAsia="Times New Roman" w:hAnsi="Times New Roman"/>
          <w:sz w:val="18"/>
          <w:szCs w:val="18"/>
          <w:color w:val="auto"/>
        </w:rPr>
        <w:t>. The Representatives may terminate this Agreement, by notice to the Company, at any time at or prior to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if, in the reasonable judgement of the Representatives, since the time of execution of this Agreement or since the respective dates as of which information is given in the Registration Statement, Disclosure Package or the Prospectus, (i) there has occurred any Material Adverse Effect, (ii) there has occurred any material adverse change in the financial markets in the United States, any outbreak of hostilities or escalation thereof or any other calamity or crisis, including a widespread outbreak of epidemic illnesses, or any change or development involving a prospective change in national political, financial or economic conditions, in each case the effect of which is such as to make it, in the judgment of the Representatives, impracticable or inadvisable to proceed with the completion of the offering of the Securities on the terms and in the manner contemplated in the Registration Statement, the Prospectus and the Disclosure Package or to enforce contracts for the sale of the Securities, (iii) trading or quotation in any securities of the Company has been suspended or limited by the Commission or by the New York Stock Exchange, or if trading generally on the New York Stock Exchange or the Nasdaq Global Select Market has been suspended or limited, or minimum or maximum prices for trading have been fixed, or maximum ranges for prices have been required, by any of said exchanges or by such system or by order of the Commission, FINRA or any other governmental authority, (iv) there has occurred a downgrading in or withdrawal of the rating assigned to the Securities or any other securities of the Company by any NRSRO, or such organization has publicly announced that it has under surveillance or review, or has changed its outlook with respect to, its rating of the Securities or any other securities of the Company, or (v) a banking moratorium has been declared by the United States, New York or Mississippi authorities or a material restriction on banking activities or operations by such regulatory authorities or a material disruption has occurred in commercial banking or securities settlement and clearances services in the United States.</w:t>
      </w:r>
    </w:p>
    <w:p>
      <w:pPr>
        <w:spacing w:after="0" w:line="194" w:lineRule="exact"/>
        <w:rPr>
          <w:rFonts w:ascii="Times New Roman" w:cs="Times New Roman" w:eastAsia="Times New Roman" w:hAnsi="Times New Roman"/>
          <w:sz w:val="18"/>
          <w:szCs w:val="18"/>
          <w:color w:val="auto"/>
        </w:rPr>
      </w:pPr>
    </w:p>
    <w:p>
      <w:pPr>
        <w:ind w:right="40" w:firstLine="436"/>
        <w:spacing w:after="0" w:line="267"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provided further that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hereof shall survive such termination and remain in full force and effect.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36"/>
        <w:spacing w:after="0" w:line="254"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Closing Time, any Underwriter defaults on its obligation to purchase the Securities that it has agreed to purchase hereunder, the Representatives may in their discretion but in any event within 36 hours after such default, arrange for the purchase of such Securities by other persons satisfactory to the Company on the terms contained in this Agreement. If other persons become obligated or agree to purchase the Securities of a defaulting Underwriter within such 36-hour period, either the Representatives or the Company may postpone the Closing Time for up to five (5) full business days in order to effect any changes that in the opinion of counsel for the Company or counsel for the Underwriters may be necessary in Registration Statement, the Prospectus, Disclosure Package or in any other document or arrangement, and the Company agrees to promptly prepare any amendment or supplement to the Registration Statement, the Prospectus or Disclosure Package that effects any such changes. As used in this Agreement, the term “Underwriter” includes, for all purposes of this Agreement unless the context otherwise requires, any person not listed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hereto that, pursuant to this Section 10, purchases Securities that a defaulting Underwriter agreed but failed to purchase.</w:t>
      </w:r>
    </w:p>
    <w:p>
      <w:pPr>
        <w:spacing w:after="0" w:line="188"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 for the purchase of the Securities of a defaulting Underwriter or Underwriters by the Representatives and the Company as provided in paragraph (a) above, the aggregate principal amount of such Securities that remains unpurchased does not exceed 10% of the aggregate principal amount of all of the Securities, then the Company shall have the right to require each non-defaulting Underwriter to purchase the aggregate principal amount of Securities that such Underwriter agreed to purchase hereunder plus such Underwriter’s pro rata share (based on the aggregate principal amount of Securities that such Underwriter agreed to purchase hereunder) of the Securities of such defaulting Underwriter or Underwriters for which such arrangement has not been made.</w:t>
      </w:r>
    </w:p>
    <w:p>
      <w:pPr>
        <w:spacing w:after="0" w:line="187" w:lineRule="exact"/>
        <w:rPr>
          <w:rFonts w:ascii="Times New Roman" w:cs="Times New Roman" w:eastAsia="Times New Roman" w:hAnsi="Times New Roman"/>
          <w:sz w:val="18"/>
          <w:szCs w:val="18"/>
          <w:color w:val="auto"/>
        </w:rPr>
      </w:pPr>
    </w:p>
    <w:p>
      <w:pPr>
        <w:ind w:right="100" w:firstLine="436"/>
        <w:spacing w:after="0" w:line="274" w:lineRule="auto"/>
        <w:tabs>
          <w:tab w:leader="none" w:pos="68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after giving effect to any arrangements for the purchase of the Securities of a defaulting Underwriter or Underwriters by the non-defaulting Underwriter and the Company as provided in paragraph (a) above, the aggregate principal amount of such Securities that remains unpurchased exceeds 10% of the aggregate principal amount of all of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and except that the provisions of </w:t>
      </w:r>
      <w:r>
        <w:rPr>
          <w:rFonts w:ascii="Times New Roman" w:cs="Times New Roman" w:eastAsia="Times New Roman" w:hAnsi="Times New Roman"/>
          <w:sz w:val="17"/>
          <w:szCs w:val="17"/>
          <w:u w:val="single" w:color="auto"/>
          <w:color w:val="auto"/>
        </w:rPr>
        <w:t>Sections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15</w:t>
      </w:r>
      <w:r>
        <w:rPr>
          <w:rFonts w:ascii="Times New Roman" w:cs="Times New Roman" w:eastAsia="Times New Roman" w:hAnsi="Times New Roman"/>
          <w:sz w:val="17"/>
          <w:szCs w:val="17"/>
          <w:color w:val="auto"/>
        </w:rPr>
        <w:t xml:space="preserve"> hereof shall not terminate and shall remain in effect.</w:t>
      </w:r>
    </w:p>
    <w:p>
      <w:pPr>
        <w:spacing w:after="0" w:line="172" w:lineRule="exact"/>
        <w:rPr>
          <w:rFonts w:ascii="Times New Roman" w:cs="Times New Roman" w:eastAsia="Times New Roman" w:hAnsi="Times New Roman"/>
          <w:sz w:val="17"/>
          <w:szCs w:val="17"/>
          <w:color w:val="auto"/>
        </w:rPr>
      </w:pPr>
    </w:p>
    <w:p>
      <w:pPr>
        <w:ind w:right="20" w:firstLine="436"/>
        <w:spacing w:after="0" w:line="282"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transmitted by any standard form of telecommunication. Notices to the Underwriters shall be directed to the Representatives care of (i) Keefe, Bruyette &amp; Woods, Inc. at 787 Seventh Avenue, 4th Floor, New York, New York 10019, e-mail: USCapitalMarkets@kbw.com, and (ii) Stephens Inc. at 111 Center Street, Suite 100, Little Rock, Arizona 72201, Attention: A. Davidson Hall, Managing Director, Co-Head of Debt Capital Markets, e-mail: davidson.hall@stephens.com, with a copy, which shall not constitute notice, to Skadden, Arps, Slate, Meagher &amp; Flom LLP, One Manhattan West, 395 9th Ave, New York, New York 10001, Attention: Michael P. Reed; and notices to the Company shall be directed to it at 209 Troy Street, Tupelo, Mississippi 38804, Attention: James C. Mabry IV, Executive Vice President and Chief Financial Officer, with a copy to Phelps Dunbar LLP, 365 Canal Street, Suite 2000, New Orleans, Louisiana 70130, Attention: Mark Fullmer.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6" w:name="page37"/>
    <w:bookmarkEnd w:id="36"/>
    <w:p>
      <w:pPr>
        <w:ind w:left="4"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each Underwriter, the Company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Nothing expressed or mentioned in this Agreement is intended or shall be construed to give any person, firm or corporation, other than the Underwriters, the Company and their respective successors and the controlling persons and other persons referred to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hereof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their respective successors, and said controlling persons and other persons and their heirs and legal representatives, and for the benefit of no other person, firm or corporation. No purchaser of Securities from any Underwriter shall be deemed to be a successor by reason merely of such purchase.</w:t>
      </w:r>
    </w:p>
    <w:p>
      <w:pPr>
        <w:spacing w:after="0" w:line="185"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This Agreement constitutes the entire agreement of the parties to this Agreement and supersedes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prior written or oral and all contemporaneous oral agreements, understandings and negotiations with respect to the subject matter hereof. This Underwriting Agreement may be executed in any number of counterparts and by the parties hereto in separate counterparts, and signature pages may be delivered by electronic means, each of which when so executed shall be deemed to be an original and all of which taken together shall constitute one and the same agreement.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436"/>
        <w:spacing w:after="0" w:line="261" w:lineRule="auto"/>
        <w:tabs>
          <w:tab w:leader="none" w:pos="6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hanging="4"/>
        <w:spacing w:after="0" w:line="253"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6" w:right="479" w:bottom="1440" w:gutter="0" w:footer="0" w:header="0"/>
        </w:sectPr>
      </w:pPr>
    </w:p>
    <w:bookmarkStart w:id="37" w:name="page38"/>
    <w:bookmarkEnd w:id="37"/>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ANY CLAIM, CONTROVERSY OR DISPUTE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OR RELATED TO THIS AGREEMENT SHALL BE GOVERNED BY AND CONSTRUED IN ACCORDANCE WITH THE LAWS OF THE STATE OF NEW YORK WITHOUT REGARD TO CONFLICT OF LAW PRINCIPLES OF SAID STATE OTHER THAN SECTION 5–1401 OF THE NEW YORK GENERAL OBLIGATIONS LAW.</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ON BEHALF OF ITSELF AND ITS SUBSIDIARIES HEREBY IRREVOCABLY SUBMITS TO THE EXCLUSIVE JURISDICTION OF THE FEDERAL AND NEW YORK STATE COURTS LOCATED IN THE CITY OF NEW YORK IN CONNECTION WITH ANY SUIT, ACTION OR PROCEEDING RELATED TO THIS AGREEMENT OR ANY OF THE MATTERS CONTEMPLATED HEREBY, IRREVOCABLY WAIVES ANY DEFENSE OF LACK OF PERSONAL JURISDICTION AND IRREVOCABLY AGREES THAT ALL CLAIMS IN RESPECT OF ANY SUIT, ACTION OR PROCEEDING MAY BE HEARD AND DETERMINED IN ANY SUCH COURT. THE COMPANY ON BEHALF OF ITSELF AND ITS SUBSIDIARIES IRREVOCABLY WAIVES, TO THE FULLEST EXTENT IT MAY EFFECTIVELY DO SO UNDER APPLICABLE LAW, ANY OBJECTION WHICH IT MAY NOW OR HEREAFTER HAVE TO THE LAYING OF VENUE OF ANY SUCH SUIT, ACTION OR PROCEEDING BROUGHT IN ANY SUCH COURT AND ANY CLAIM THAT ANY SUCH SUIT, ACTION OR PROCEEDING BROUGHT IN ANY SUCH COURT HAS BEEN BROUGHT IN AN INCONVENIENT FORUM.</w:t>
      </w:r>
    </w:p>
    <w:p>
      <w:pPr>
        <w:spacing w:after="0" w:line="184"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u w:val="single" w:color="auto"/>
          <w:color w:val="auto"/>
        </w:rPr>
        <w:t>Amendment; Waiver; Effect of Headings</w:t>
      </w:r>
      <w:r>
        <w:rPr>
          <w:rFonts w:ascii="Times New Roman" w:cs="Times New Roman" w:eastAsia="Times New Roman" w:hAnsi="Times New Roman"/>
          <w:sz w:val="18"/>
          <w:szCs w:val="18"/>
          <w:color w:val="auto"/>
        </w:rPr>
        <w:t>. This Agreement may not be amended or modified unless in writing by all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no condition herein (express or implied) may be waived unless waived in writing by each party whom the condition is meant to benefit. The Article and Section headings herein are for convenience only and shall not affect the construction hereof.</w:t>
      </w:r>
    </w:p>
    <w:p>
      <w:pPr>
        <w:spacing w:after="0" w:line="171"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Each of the Company (on its behalf and, to the extent permitted by applicable law, on behalf of its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the Underwriters hereby irrevocably waives, to the fullest extent permitted by applicable law, any and all right to trial by jury in any legal proceeding arising out of or relating to this Agreement or the transactions contemplated hereby</w:t>
      </w:r>
    </w:p>
    <w:p>
      <w:pPr>
        <w:spacing w:after="0" w:line="17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u w:val="single" w:color="auto"/>
          <w:color w:val="auto"/>
        </w:rPr>
        <w:t>Nature of Relationship</w:t>
      </w:r>
      <w:r>
        <w:rPr>
          <w:rFonts w:ascii="Times New Roman" w:cs="Times New Roman" w:eastAsia="Times New Roman" w:hAnsi="Times New Roman"/>
          <w:sz w:val="18"/>
          <w:szCs w:val="18"/>
          <w:color w:val="auto"/>
        </w:rPr>
        <w:t>. The Company acknowledges and agrees that (a) the offering or purchase and sale of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including the determination of the terms of the Securities and the offering price thereof and any related discounts and commissions, is an arm’s-length commercial transaction between the Company, on the one hand, and the several Underwriters, including any affiliate of the Company, on the other hand, (b) in connection with the offering pursuant to this Agreement and the process leading to such offering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pursuant to this Agreement or the process leading thereto (irrespective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such Underwriter has advised or is currently advising the Company on other matters) and no Underwriter has any obligation to the Company with respect to the offering pursuant to this Agreement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financial, accounting, regulatory and tax advisors to the extent it deemed appropriate.</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below.</w:t>
      </w: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00"/>
          </w:cols>
          <w:pgMar w:left="440" w:top="270" w:right="659" w:bottom="1440" w:gutter="0" w:footer="0" w:header="0"/>
        </w:sectPr>
      </w:pPr>
    </w:p>
    <w:bookmarkStart w:id="39" w:name="page40"/>
    <w:bookmarkEnd w:id="39"/>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D.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Kevin D. Chapman</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R. Anderson</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Scott R. Anderson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Head of Investment Banking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STEPHENS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 Davidson Hall</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 Davidson Hall</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Co-Head of Debt Capital Markets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themselves and as Representatives of the other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019"/>
          </w:cols>
          <w:pgMar w:left="440" w:top="270"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704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39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59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Securities to</w:t>
            </w:r>
          </w:p>
        </w:tc>
        <w:tc>
          <w:tcPr>
            <w:tcW w:w="0" w:type="dxa"/>
            <w:vAlign w:val="bottom"/>
          </w:tcPr>
          <w:p>
            <w:pPr>
              <w:spacing w:after="0"/>
              <w:rPr>
                <w:sz w:val="1"/>
                <w:szCs w:val="1"/>
                <w:color w:val="auto"/>
              </w:rPr>
            </w:pPr>
          </w:p>
        </w:tc>
      </w:tr>
      <w:tr>
        <w:trPr>
          <w:trHeight w:val="171"/>
        </w:trPr>
        <w:tc>
          <w:tcPr>
            <w:tcW w:w="3980" w:type="dxa"/>
            <w:vAlign w:val="bottom"/>
            <w:vMerge w:val="continue"/>
          </w:tcPr>
          <w:p>
            <w:pPr>
              <w:spacing w:after="0"/>
              <w:rPr>
                <w:sz w:val="14"/>
                <w:szCs w:val="14"/>
                <w:color w:val="auto"/>
              </w:rPr>
            </w:pPr>
          </w:p>
        </w:tc>
        <w:tc>
          <w:tcPr>
            <w:tcW w:w="598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be Purchased</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59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$180,000,000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Stephens Inc.</w:t>
            </w:r>
          </w:p>
        </w:tc>
        <w:tc>
          <w:tcPr>
            <w:tcW w:w="7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 Place Capital Securities Corporation</w:t>
            </w:r>
          </w:p>
        </w:tc>
        <w:tc>
          <w:tcPr>
            <w:tcW w:w="7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7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7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1" w:name="page42"/>
    <w:bookmarkEnd w:id="41"/>
    <w:p>
      <w:pPr>
        <w:jc w:val="right"/>
        <w:ind w:right="39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56"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for Securities, dated May 4, 2026</w:t>
      </w:r>
    </w:p>
    <w:p>
      <w:pPr>
        <w:spacing w:after="0" w:line="131"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Presentation, filed with the Commission on May 4, 2026</w:t>
      </w:r>
    </w:p>
    <w:p>
      <w:pPr>
        <w:sectPr>
          <w:pgSz w:w="11900" w:h="16838" w:orient="portrait"/>
          <w:cols w:equalWidth="0" w:num="1">
            <w:col w:w="10023"/>
          </w:cols>
          <w:pgMar w:left="436" w:top="266"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337310" cy="4718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337310" cy="47180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173990</wp:posOffset>
            </wp:positionV>
            <wp:extent cx="1739900" cy="685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7399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May 7,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209 Troy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Tupelo, Mississippi 38804-4827</w:t>
      </w:r>
    </w:p>
    <w:p>
      <w:pPr>
        <w:spacing w:after="0" w:line="234"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Re:</w:t>
        <w:tab/>
        <w:t>Renasant Corporation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Form S-3 Registration Statement (File No. 333-284828)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20" w:firstLine="440"/>
        <w:spacing w:after="0" w:line="253" w:lineRule="auto"/>
        <w:rPr>
          <w:sz w:val="20"/>
          <w:szCs w:val="20"/>
          <w:color w:val="auto"/>
        </w:rPr>
      </w:pPr>
      <w:r>
        <w:rPr>
          <w:rFonts w:ascii="Times New Roman" w:cs="Times New Roman" w:eastAsia="Times New Roman" w:hAnsi="Times New Roman"/>
          <w:sz w:val="18"/>
          <w:szCs w:val="18"/>
          <w:color w:val="auto"/>
        </w:rPr>
        <w:t>We have acted as counsel to Renasant Corporation, a Mississippi corporation (the “Company”), in connection with the Company’s issuance and sale of $300,000,000 aggregate principal amount of 6.25% Fixed-to-Floating Rate Subordinated Notes due 2036 (the “Notes”), pursuant to the Company’s prospectus, dated February 11, 2025 (the “Base Prospectus”), which was included in the Company’s Registration Statement on Form S-3 (File No. 333-284828) (the “Registration Statement”) filed with the Securities and Exchange Commission (the “Commission”) on February 11, 2025 under the Securities Act of 1933, as amended (the “Securities Act”), and the related preliminary prospectus supplement dated May 4, 2026 and the related final prospectus supplement dated May 4, 2026 (collectively, the “Prospectus Supplement”). The Notes are being issued and sold pursuant to</w:t>
      </w:r>
    </w:p>
    <w:p>
      <w:pPr>
        <w:spacing w:after="0" w:line="5" w:lineRule="exact"/>
        <w:rPr>
          <w:sz w:val="20"/>
          <w:szCs w:val="20"/>
          <w:color w:val="auto"/>
        </w:rPr>
      </w:pPr>
    </w:p>
    <w:p>
      <w:pPr>
        <w:ind w:left="4" w:right="100" w:hanging="4"/>
        <w:spacing w:after="0" w:line="253"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certain Subordinated Indenture dated as of August 22, 2016 (the “Base Indenture”) by and between the Company and Wilmington Trust, National Association, as trustee (the “Trustee”), as supplemented by that certain Fifth Supplemental Indenture dated as of May 7, 2026 between the Company and the Trustee (collectively with the Base Indenture, the “Indenture”), and (ii) that certain Underwriting Agreement dated as of May 4, 2026 (the “Underwriting Agreement”) by and between the Company and Keefe, Bruyette &amp; Woods, Inc.,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xml:space="preserve"> and Stephens Inc., as representative of the several underwriters listed on Schedule I to the Underwriting Agreement (the “Underwriters”).</w:t>
      </w:r>
    </w:p>
    <w:p>
      <w:pPr>
        <w:spacing w:after="0" w:line="187"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In rendering this opinion, we have examined and relied upon originals, or photostatic, scanned/emailed or certified (or otherwise satisfactorily identified) copies, of the Registration Statement (including the exhibits attached thereto), the Base Prospectus, the Prospectus Supplement, the Underwriting Agreement, the Indenture, the Global Note representing the Notes, the Issuer-Represented Free Writing Prospectuses relating to the Company dated May 4, 2026 and filed with the Commission pursuant to Rule 433 of the rules and regulations of the Commission, used by the Company in connection with the offering, issuance and sale of the Notes and the Amended and Restated Articles of Incorporation of the Company, as amended through the date hereof, and the Amended and Restated Bylaws of the Company, as amended through the date hereof. We have also examined and relied upon originals, or photostatic, scanned/emailed or certified (or otherwise satisfactorily identified) copies, of such other records of the Company, certificates of officers of the Company and other agreements, documents and instruments and have examined such questions of law as we have deemed relevant and necessary as the basis for the opinions set forth below.</w:t>
      </w:r>
    </w:p>
    <w:p>
      <w:pPr>
        <w:spacing w:after="0" w:line="188"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In such examination, we have assumed the genuineness of all signatures appearing on all documents, the legal capacity of all natural persons signing such documents, the authenticity of all documents submitted to us as originals, the conformity to original documents of all documents submitted to us as certified, conformed, photostatic or scanned/emailed copies, the accuracy and completeness of all corporate records made available to us by the Company, and the truth and accuracy of all facts set forth in all certificates provided to or examined by us. Except to the extent expressly set forth herein, we have made no independent investigations with regard thereto, and, accordingly, we do not express any opinion as to matters that might have been disclosed by independent verification.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147955</wp:posOffset>
            </wp:positionV>
            <wp:extent cx="641223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412230" cy="3003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Renasant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We also have assumed that with respect to any document executed by electronic signature, that (1) all parties thereto have mutually consented to the use of electronic signatures, (2) each party thereto, by using an electronic signature, intends to be legally bound by the terms of such document,</w:t>
      </w:r>
    </w:p>
    <w:p>
      <w:pPr>
        <w:ind w:left="4" w:right="60" w:hanging="4"/>
        <w:spacing w:after="0" w:line="252"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 process used ensures the authenticity and integrity of such document, (4) where additional legal requirements are required to be complied with, we assume that such requirements have been duly complied with in the context of such electronic execution, (5) the execution of documents via electronic signature is governed by applicable laws and regulations that recognize and enforce electronic signatures including, without limitation, the Electronic Signatures in Global and National Commerce Act (E-SIGN Act), the Uniform Electronic Transactions Act (UETA), or any equivalent legislation in the relevant jurisdiction, and (6) if such document requires a person’s approval of such electronic signature’s platform for such electronic signature to be effective, such person has approved such platform.</w:t>
      </w:r>
    </w:p>
    <w:p>
      <w:pPr>
        <w:spacing w:after="0" w:line="190"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Based upon the foregoing and representations made to us by officers of the Company, and subject to the limitations, qualifications, exceptions and assumptions set forth herein, we are of the opinion that, insofar as the laws of the State of Mississippi are concerned, (i) the Company is duly organized, validly existing and in good standing under the laws of the State of Mississippi and has all requisite corporate power, authority and legal right to execute, deliver and perform its obligations under the Indenture and the Notes, as applicable, and (ii) the Notes and the Indenture have been duly authorized, executed and delivered by the Company.</w:t>
      </w:r>
    </w:p>
    <w:p>
      <w:pPr>
        <w:spacing w:after="0" w:line="183"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With respect to all matters of New York law, we note that you are relying on an opinion of Skadden, Arps, Slate, Meagher &amp; Flom LLP, dated as of even date herewith, which opinion is filed as Exhibit 5.2 to the Company’s Current Report on Form 8-K, which is incorporated by reference in the Registration Statement.</w:t>
      </w:r>
    </w:p>
    <w:p>
      <w:pPr>
        <w:spacing w:after="0" w:line="17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opinions expressed above regarding good standing do not extend to, and we express no opinion as to, whether the Company is in “tax good standing” as to the payment of or filings related to taxes of the State of Mississippi (as opposed to filings relating to its entity status with the Mississippi Secretary of State).</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opinion expressed above regarding due execution and delivery of the Notes and Indenture by the Company is based upon our review of copies of executed signature pages for the Company provided to us by others purportedly present at the closing of the transactions contemplated by or related to the Notes and Indenture. We did not physically witness the execution or delivery of such documents.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render no opinions as to the enforceability of the Notes and the Indenture.</w:t>
      </w:r>
    </w:p>
    <w:p>
      <w:pPr>
        <w:spacing w:after="0" w:line="225"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foregoing opinions are limited to the federal laws of the United States and the laws of the State of Mississippi. We express no opinion as to matters governed by the laws of any other state, including without limitation any state securities or blue sky laws. Furthermore, no opinion is expressed herein as to the effect of any future acts of the parties or changes in existing law. We undertake no responsibility to advise you of any changes after the date hereof in the law or the facts presently in effect that would alter the scope or substance of the opinions herein expressed.</w:t>
      </w:r>
    </w:p>
    <w:p>
      <w:pPr>
        <w:sectPr>
          <w:pgSz w:w="11900" w:h="16838" w:orient="portrait"/>
          <w:cols w:equalWidth="0" w:num="1">
            <w:col w:w="11004"/>
          </w:cols>
          <w:pgMar w:left="436" w:top="270"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Renasant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This opinion is delivered for use solely in connection with the issuance of the Notes, in the transactions contemplated by the Registration Statement, the Base Prospectus, the Prospectus Supplement and the Underwriting Agreement, and may not be used, circulated, quoted or otherwise relied upon for any other purpose without our express written consent. This letter expresses our legal opinion as to the foregoing matters based on our professional judgment at this time; it is not, however, to be construed as a guaranty, nor is it a warranty that a court considering such matters would not rule in a manner contrary to the opinion set forth above.</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dated May 7, 2026, which is incorporated by reference in the Registration Statement, and to being named in the Registration Statement under the heading “Legal Matters” as the law firm which passed on the validity of the Notes. In giving this consent, we do not admit that we are within the category of persons whose consent is required under Section 7 of the Securities Act and the rules and regulations of the Commission promulgated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Phelps Dunbar, L.L.P.</w:t>
      </w:r>
    </w:p>
    <w:p>
      <w:pPr>
        <w:sectPr>
          <w:pgSz w:w="11900" w:h="16838" w:orient="portrait"/>
          <w:cols w:equalWidth="0" w:num="1">
            <w:col w:w="10940"/>
          </w:cols>
          <w:pgMar w:left="440" w:top="270" w:right="5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4"/>
          <w:szCs w:val="14"/>
          <w:color w:val="auto"/>
        </w:rPr>
        <w:t>LOM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78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TEL: (212) 735-3000</w:t>
            </w: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FIRM/AFFILIATE</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FAX: (212) 735-2000</w:t>
            </w:r>
          </w:p>
        </w:tc>
        <w:tc>
          <w:tcPr>
            <w:tcW w:w="1440" w:type="dxa"/>
            <w:vAlign w:val="bottom"/>
          </w:tcPr>
          <w:p>
            <w:pPr>
              <w:spacing w:after="0"/>
              <w:rPr>
                <w:sz w:val="18"/>
                <w:szCs w:val="18"/>
                <w:color w:val="auto"/>
              </w:rPr>
            </w:pPr>
          </w:p>
        </w:tc>
        <w:tc>
          <w:tcPr>
            <w:tcW w:w="216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color w:val="auto"/>
                <w:w w:val="99"/>
              </w:rPr>
              <w:t>OFFICES</w:t>
            </w:r>
          </w:p>
        </w:tc>
      </w:tr>
      <w:tr>
        <w:trPr>
          <w:trHeight w:val="194"/>
        </w:trPr>
        <w:tc>
          <w:tcPr>
            <w:tcW w:w="2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www.skadden.com</w:t>
            </w:r>
          </w:p>
        </w:tc>
        <w:tc>
          <w:tcPr>
            <w:tcW w:w="1440" w:type="dxa"/>
            <w:vAlign w:val="bottom"/>
          </w:tcPr>
          <w:p>
            <w:pPr>
              <w:spacing w:after="0"/>
              <w:rPr>
                <w:sz w:val="16"/>
                <w:szCs w:val="16"/>
                <w:color w:val="auto"/>
              </w:rPr>
            </w:pPr>
          </w:p>
        </w:tc>
        <w:tc>
          <w:tcPr>
            <w:tcW w:w="9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tcPr>
          <w:p>
            <w:pPr>
              <w:spacing w:after="0"/>
              <w:rPr>
                <w:sz w:val="16"/>
                <w:szCs w:val="16"/>
                <w:color w:val="auto"/>
              </w:rPr>
            </w:pPr>
          </w:p>
        </w:tc>
      </w:tr>
      <w:tr>
        <w:trPr>
          <w:trHeight w:val="299"/>
        </w:trPr>
        <w:tc>
          <w:tcPr>
            <w:tcW w:w="2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7"/>
              </w:rPr>
              <w:t>BOSTON</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9"/>
              </w:rPr>
              <w:t>HOUSTON</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LOS ANGELES</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6"/>
              </w:rPr>
              <w:t>PALO ALTO</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WASHINGTON, D.C.</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WILMINGTON</w:t>
            </w:r>
          </w:p>
        </w:tc>
      </w:tr>
      <w:tr>
        <w:trPr>
          <w:trHeight w:val="194"/>
        </w:trPr>
        <w:tc>
          <w:tcPr>
            <w:tcW w:w="2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tcPr>
          <w:p>
            <w:pPr>
              <w:spacing w:after="0"/>
              <w:rPr>
                <w:sz w:val="16"/>
                <w:szCs w:val="16"/>
                <w:color w:val="auto"/>
              </w:rPr>
            </w:pPr>
          </w:p>
        </w:tc>
      </w:tr>
      <w:tr>
        <w:trPr>
          <w:trHeight w:val="299"/>
        </w:trPr>
        <w:tc>
          <w:tcPr>
            <w:tcW w:w="2640" w:type="dxa"/>
            <w:vAlign w:val="bottom"/>
          </w:tcPr>
          <w:p>
            <w:pPr>
              <w:spacing w:after="0"/>
              <w:rPr>
                <w:sz w:val="24"/>
                <w:szCs w:val="24"/>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ABU DHABI</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rPr>
              <w:t>BRUSSELS</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FRANKFURT</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7"/>
              </w:rPr>
              <w:t>PARIS</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7"/>
              </w:rPr>
              <w:t>SÃO PAULO</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2640" w:type="dxa"/>
            <w:vAlign w:val="bottom"/>
          </w:tcPr>
          <w:p>
            <w:pPr>
              <w:spacing w:after="0"/>
              <w:rPr>
                <w:sz w:val="18"/>
                <w:szCs w:val="18"/>
                <w:color w:val="auto"/>
              </w:rPr>
            </w:pPr>
          </w:p>
        </w:tc>
        <w:tc>
          <w:tcPr>
            <w:tcW w:w="36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8"/>
              </w:rPr>
              <w:t>TOKYO</w:t>
            </w:r>
          </w:p>
        </w:tc>
      </w:tr>
      <w:tr>
        <w:trPr>
          <w:trHeight w:val="234"/>
        </w:trPr>
        <w:tc>
          <w:tcPr>
            <w:tcW w:w="2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6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color w:val="auto"/>
                <w:w w:val="99"/>
              </w:rPr>
              <w:t>TORONTO</w:t>
            </w:r>
          </w:p>
        </w:tc>
      </w:tr>
      <w:tr>
        <w:trPr>
          <w:trHeight w:val="445"/>
        </w:trPr>
        <w:tc>
          <w:tcPr>
            <w:tcW w:w="2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May 7, 2026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Renasant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 Troy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Tupelo, MS 38804-4827</w:t>
      </w:r>
    </w:p>
    <w:p>
      <w:pPr>
        <w:spacing w:after="0" w:line="234"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Renasant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6.25% Fixed-to-Floating Rate Subordinated Notes due June 1, 2036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have acted as special United States counsel to the Underwriters (as defined below) in connection with Renasant Corporation, a Mississippi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”)’s, public offering of $300,000,000 aggregate principal amount of the Company’s 6.25% Fixed-to-Floating Rate Subordinated Notes due 2036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the Subordinated Indenture, dated as of August 22, 2016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supplemented by the fifth supplemental indenture, dated as of May 7, 2026 (the “</w:t>
      </w:r>
      <w:r>
        <w:rPr>
          <w:rFonts w:ascii="Times New Roman" w:cs="Times New Roman" w:eastAsia="Times New Roman" w:hAnsi="Times New Roman"/>
          <w:sz w:val="18"/>
          <w:szCs w:val="18"/>
          <w:u w:val="single" w:color="auto"/>
          <w:color w:val="auto"/>
        </w:rPr>
        <w:t>Fifth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Wilmington Trust, National Association,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Renasant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pacing w:after="0" w:line="225" w:lineRule="exact"/>
        <w:rPr>
          <w:sz w:val="20"/>
          <w:szCs w:val="20"/>
          <w:color w:val="auto"/>
        </w:rPr>
      </w:pPr>
    </w:p>
    <w:p>
      <w:pPr>
        <w:ind w:right="160" w:firstLine="436"/>
        <w:spacing w:after="0" w:line="258"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S-3ASR (File No. 333-284828) of the Company relating to debt securities and other securities of the Company filed on February 11, 2025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allowing for delayed offerings pursuant to Rule 415 of the General Rules and Regulations under the Securities Act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including the information deemed to be a part of the registration statement pursuant to Rule 430B of the Rules and Regulations (such registration statement being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dated February 11, 2025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which forms a part of and is included in the Registration Statement;</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dated May 4, 2026 (together with the Base Prospectus,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relating to the offering of the Notes, in the form filed with the Commission pursuant to Rule 424(b) of the Rules and Regulations;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dated May 4, 2026 (together with the Base Prospectus,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relating to the offering of the Notes, in the form filed with the Commission pursuant to Rule 424(b) of the Rules and Regulations;</w:t>
      </w:r>
    </w:p>
    <w:p>
      <w:pPr>
        <w:spacing w:after="0" w:line="161" w:lineRule="exact"/>
        <w:rPr>
          <w:rFonts w:ascii="Times New Roman" w:cs="Times New Roman" w:eastAsia="Times New Roman" w:hAnsi="Times New Roman"/>
          <w:sz w:val="18"/>
          <w:szCs w:val="18"/>
          <w:color w:val="auto"/>
        </w:rPr>
      </w:pPr>
    </w:p>
    <w:p>
      <w:pPr>
        <w:ind w:right="840" w:firstLine="436"/>
        <w:spacing w:after="0" w:line="282"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term sheet, dated May 4, 2026 (the “</w:t>
      </w:r>
      <w:r>
        <w:rPr>
          <w:rFonts w:ascii="Times New Roman" w:cs="Times New Roman" w:eastAsia="Times New Roman" w:hAnsi="Times New Roman"/>
          <w:sz w:val="18"/>
          <w:szCs w:val="18"/>
          <w:u w:val="single" w:color="auto"/>
          <w:color w:val="auto"/>
        </w:rPr>
        <w:t>Pricing Term Sheet</w:t>
      </w:r>
      <w:r>
        <w:rPr>
          <w:rFonts w:ascii="Times New Roman" w:cs="Times New Roman" w:eastAsia="Times New Roman" w:hAnsi="Times New Roman"/>
          <w:sz w:val="18"/>
          <w:szCs w:val="18"/>
          <w:color w:val="auto"/>
        </w:rPr>
        <w:t>”), relating to the offering of the Notes, in the form filed with the Commission pursuant to Rule 433 of the Rules and Regulations;</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May 4, 2026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between the Company and Keefe, Bruyette &amp; Woods, Inc. and Stephens Inc. as representatives of the several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the sale by the Company to the Underwriters of the Notes;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Base Indenture;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Fifth Supplemental Indenture; and</w:t>
      </w:r>
    </w:p>
    <w:p>
      <w:pPr>
        <w:spacing w:after="0" w:line="225" w:lineRule="exact"/>
        <w:rPr>
          <w:rFonts w:ascii="Times New Roman" w:cs="Times New Roman" w:eastAsia="Times New Roman" w:hAnsi="Times New Roman"/>
          <w:sz w:val="18"/>
          <w:szCs w:val="18"/>
          <w:color w:val="auto"/>
        </w:rPr>
      </w:pPr>
    </w:p>
    <w:p>
      <w:pPr>
        <w:ind w:right="540" w:firstLine="436"/>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certificate evidencing the Notes, executed by the Company and registered in the name of Cede &amp; Co. (the “</w:t>
      </w:r>
      <w:r>
        <w:rPr>
          <w:rFonts w:ascii="Times New Roman" w:cs="Times New Roman" w:eastAsia="Times New Roman" w:hAnsi="Times New Roman"/>
          <w:sz w:val="18"/>
          <w:szCs w:val="18"/>
          <w:u w:val="single" w:color="auto"/>
          <w:color w:val="auto"/>
        </w:rPr>
        <w:t>Note Certificate</w:t>
      </w:r>
      <w:r>
        <w:rPr>
          <w:rFonts w:ascii="Times New Roman" w:cs="Times New Roman" w:eastAsia="Times New Roman" w:hAnsi="Times New Roman"/>
          <w:sz w:val="18"/>
          <w:szCs w:val="18"/>
          <w:color w:val="auto"/>
        </w:rPr>
        <w:t>”), delivered by the Company to the Trustee for authentication and delivery.</w:t>
      </w:r>
    </w:p>
    <w:p>
      <w:pPr>
        <w:spacing w:after="0" w:line="162"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ectPr>
          <w:pgSz w:w="11900" w:h="16838" w:orient="portrait"/>
          <w:cols w:equalWidth="0" w:num="1">
            <w:col w:w="11020"/>
          </w:cols>
          <w:pgMar w:left="440" w:top="270"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Renasant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factual representations and warranties contained in the Underwriting Agreement.</w:t>
      </w:r>
    </w:p>
    <w:p>
      <w:pPr>
        <w:spacing w:after="0" w:line="183"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laws of the State of New York (the foregoing being referred to as “</w:t>
      </w:r>
      <w:r>
        <w:rPr>
          <w:rFonts w:ascii="Times New Roman" w:cs="Times New Roman" w:eastAsia="Times New Roman" w:hAnsi="Times New Roman"/>
          <w:sz w:val="18"/>
          <w:szCs w:val="18"/>
          <w:u w:val="single" w:color="auto"/>
          <w:color w:val="auto"/>
        </w:rPr>
        <w:t>Opined-on Law</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Indenture, the Underwriting Agreement and the Note Certificate.</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when duly authenticated by the Trustee and issued and delivered by the Company against payment therefor in accordance with the terms of the Underwriting Agreement and the Indenture, the Note Certificate will constitute valid and binding obligation of the Company, enforceable against the Company in accordance with its terms under the laws of the State of New York.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stated herein is subject to the following assumptions and qualifications:</w:t>
      </w:r>
    </w:p>
    <w:p>
      <w:pPr>
        <w:spacing w:after="0" w:line="225" w:lineRule="exact"/>
        <w:rPr>
          <w:sz w:val="20"/>
          <w:szCs w:val="20"/>
          <w:color w:val="auto"/>
        </w:rPr>
      </w:pPr>
    </w:p>
    <w:p>
      <w:pPr>
        <w:ind w:right="40" w:firstLine="436"/>
        <w:spacing w:after="0" w:line="261"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effect on the opinion stated herein of any bankruptcy, insolvency, reorganization, moratorium, fraudulent transfer, preference and other similar laws or governmental orders affecting creditors’ rights generally, and the opinion stated herein is limited by such laws and governmental orders and by general principles of equity (regardless of whether enforcement is sought in equity or at law);</w:t>
      </w:r>
    </w:p>
    <w:p>
      <w:pPr>
        <w:spacing w:after="0" w:line="179"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expressly stated in the opinion contained herein, we have assumed that each of the Transaction Documents constitutes the valid and binding obligation of each party to such Transaction Document, enforceable against such party in accordance with its terms;</w:t>
      </w:r>
    </w:p>
    <w:p>
      <w:pPr>
        <w:spacing w:after="0" w:line="161"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sectPr>
          <w:pgSz w:w="11900" w:h="16838" w:orient="portrait"/>
          <w:cols w:equalWidth="0" w:num="1">
            <w:col w:w="10900"/>
          </w:cols>
          <w:pgMar w:left="440" w:top="270"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Renasant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firstLine="436"/>
        <w:spacing w:after="0" w:line="266"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w:t>
      </w:r>
    </w:p>
    <w:p>
      <w:pPr>
        <w:spacing w:after="0" w:line="175"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6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stated herein is limited to the agreements and documents specifically identified in the opinion contained herein (the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pacing w:after="0" w:line="179" w:lineRule="exact"/>
        <w:rPr>
          <w:rFonts w:ascii="Times New Roman" w:cs="Times New Roman" w:eastAsia="Times New Roman" w:hAnsi="Times New Roman"/>
          <w:sz w:val="18"/>
          <w:szCs w:val="18"/>
          <w:color w:val="auto"/>
        </w:rPr>
      </w:pPr>
    </w:p>
    <w:p>
      <w:pPr>
        <w:ind w:right="720" w:firstLine="436"/>
        <w:spacing w:after="0" w:line="282"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shall be interpreted in accordance with customary practice of United States lawyers who regularly give opinions in transactions of this type;</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effectiveness of the Indenture and immediately prior to the effectiveness of the Fifth Supplemental Indenture, the Indenture has not been amended, restated, supplemented or otherwise modified in any way that affects or relates to the Note Certificate other than by the applicable Transaction Documents relating to such Notes;</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Section 7.03 of the Indenture to the extent that such section purports to bind the Company to the exclusive jurisdiction of any particular federal court or courts;</w:t>
      </w:r>
    </w:p>
    <w:p>
      <w:pPr>
        <w:spacing w:after="0" w:line="161"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 and</w:t>
      </w:r>
    </w:p>
    <w:p>
      <w:pPr>
        <w:spacing w:after="0" w:line="179" w:lineRule="exact"/>
        <w:rPr>
          <w:rFonts w:ascii="Times New Roman" w:cs="Times New Roman" w:eastAsia="Times New Roman" w:hAnsi="Times New Roman"/>
          <w:sz w:val="18"/>
          <w:szCs w:val="18"/>
          <w:color w:val="auto"/>
        </w:rPr>
      </w:pPr>
    </w:p>
    <w:p>
      <w:pPr>
        <w:ind w:right="100" w:firstLine="436"/>
        <w:spacing w:after="0" w:line="289" w:lineRule="auto"/>
        <w:tabs>
          <w:tab w:leader="none" w:pos="69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opinion relates to the enforceability of the choice of New York law and choice of New York forum provisions contained in any Transaction Document, the opinion stated herein is subject to the qualification that such enforceability may be subject to, in each case, (i) the exceptions and limitations in New York General Obligations Law Sections 5-1401 and 5-1402 and (ii) principles of comity and constitutionality.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in rendering the foregoing opinion we have also assumed that, at all applicable times:</w:t>
      </w:r>
    </w:p>
    <w:p>
      <w:pPr>
        <w:spacing w:after="0" w:line="225" w:lineRule="exact"/>
        <w:rPr>
          <w:sz w:val="20"/>
          <w:szCs w:val="20"/>
          <w:color w:val="auto"/>
        </w:rPr>
      </w:pPr>
    </w:p>
    <w:p>
      <w:pPr>
        <w:ind w:right="40" w:firstLine="436"/>
        <w:spacing w:after="0" w:line="266"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was duly incorporated and was validly existing and in good standing, (ii) had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sectPr>
          <w:pgSz w:w="11900" w:h="16838" w:orient="portrait"/>
          <w:cols w:equalWidth="0" w:num="1">
            <w:col w:w="10980"/>
          </w:cols>
          <w:pgMar w:left="440" w:top="270"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Renasant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right="80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the corporate power and authority to execute, deliver and perform all its obligations under each of the Transaction Documents;</w:t>
      </w:r>
    </w:p>
    <w:p>
      <w:pPr>
        <w:spacing w:after="0" w:line="161" w:lineRule="exact"/>
        <w:rPr>
          <w:rFonts w:ascii="Times New Roman" w:cs="Times New Roman" w:eastAsia="Times New Roman" w:hAnsi="Times New Roman"/>
          <w:sz w:val="18"/>
          <w:szCs w:val="18"/>
          <w:color w:val="auto"/>
        </w:rPr>
      </w:pPr>
    </w:p>
    <w:p>
      <w:pPr>
        <w:ind w:right="580" w:firstLine="436"/>
        <w:spacing w:after="0" w:line="282"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Transaction Documents had been duly authorized, executed and delivered by all requisite corporate action on the part of the Company;</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Notes contemplated thereby: (i) conflicted or will conflict with the certificate of incorporation, bylaws, or any other comparable organizational document of the Company, (ii) constituted or will constitute a violation of, or a default under, any lease, indenture, agreement or other instrument to which the Company or its properties are subject (except that we do not make the assumption set forth in this clause (ii) with respect to those agreements and instruments expressed to be governed by the laws of the State of New York which are listed in Part II of the Registration Statement or the Company’s Annual Report on Form 10-K for the year ended December 31, 2025), (iii) contravened or will contravene any order or decree of any governmental authority to which the Company or its properties are subject, or (iv) violated or will violate any law, rule or regulation to which the Company or its properties are subject (except that we do not make the assumption set forth in this clause (iv) with respect to the Opined-on Law); and</w:t>
      </w:r>
    </w:p>
    <w:p>
      <w:pPr>
        <w:spacing w:after="0" w:line="188" w:lineRule="exact"/>
        <w:rPr>
          <w:rFonts w:ascii="Times New Roman" w:cs="Times New Roman" w:eastAsia="Times New Roman" w:hAnsi="Times New Roman"/>
          <w:sz w:val="18"/>
          <w:szCs w:val="18"/>
          <w:color w:val="auto"/>
        </w:rPr>
      </w:pPr>
    </w:p>
    <w:p>
      <w:pPr>
        <w:ind w:right="440" w:firstLine="436"/>
        <w:spacing w:after="0" w:line="266"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Notes, required or will require the consent, approval, licensing or authorization of, or any filing, recording or registration with, any governmental authority under any law, rule or regulation of any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advise you that we have rendered legal advice to the Company in connection with various matters.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letter with the Commission as an exhibit to the Company’s Current Report on Form 8-K being filed on the date hereof and incorporated by reference into the Registration Statement.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MPR</w:t>
      </w:r>
    </w:p>
    <w:p>
      <w:pPr>
        <w:sectPr>
          <w:pgSz w:w="11900" w:h="16838" w:orient="portrait"/>
          <w:cols w:equalWidth="0" w:num="1">
            <w:col w:w="11000"/>
          </w:cols>
          <w:pgMar w:left="440" w:top="270" w:right="459" w:bottom="1440" w:gutter="0" w:footer="0" w:header="0"/>
        </w:sectPr>
      </w:pPr>
    </w:p>
    <w:bookmarkStart w:id="50" w:name="page51"/>
    <w:bookmarkEnd w:id="50"/>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173990</wp:posOffset>
            </wp:positionV>
            <wp:extent cx="3994785" cy="1388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994785" cy="13887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 xml:space="preserve">Contacts:       </w:t>
      </w:r>
      <w:r>
        <w:rPr>
          <w:sz w:val="20"/>
          <w:szCs w:val="20"/>
          <w:color w:val="auto"/>
        </w:rPr>
        <w:tab/>
      </w:r>
      <w:r>
        <w:rPr>
          <w:rFonts w:ascii="Times New Roman" w:cs="Times New Roman" w:eastAsia="Times New Roman" w:hAnsi="Times New Roman"/>
          <w:sz w:val="17"/>
          <w:szCs w:val="17"/>
          <w:b w:val="1"/>
          <w:bCs w:val="1"/>
          <w:color w:val="auto"/>
        </w:rPr>
        <w:t>For Media</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John S. Oxford</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 of Marketing</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(662) 680-1219</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joxford@renasant.com 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For Financials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James C. Mabry IV</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 w:right="4960" w:hanging="6"/>
        <w:spacing w:after="0" w:line="290" w:lineRule="auto"/>
        <w:tabs>
          <w:tab w:leader="none" w:pos="4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680-1281 jim.mabry@renasant.com</w:t>
      </w:r>
    </w:p>
    <w:p>
      <w:pPr>
        <w:spacing w:after="0" w:line="153" w:lineRule="exact"/>
        <w:rPr>
          <w:sz w:val="20"/>
          <w:szCs w:val="20"/>
          <w:color w:val="auto"/>
        </w:rPr>
      </w:pPr>
    </w:p>
    <w:p>
      <w:pPr>
        <w:sectPr>
          <w:pgSz w:w="11900" w:h="16838" w:orient="portrait"/>
          <w:cols w:equalWidth="0" w:num="2">
            <w:col w:w="3620" w:space="574"/>
            <w:col w:w="6826"/>
          </w:cols>
          <w:pgMar w:left="440" w:top="117"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RENASANT CORPORATION ANNOUNCES PRICING OF SUBORDINATED NOTES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TUPELO, MISSISSIPPI (May 4, 2026) </w:t>
      </w:r>
      <w:r>
        <w:rPr>
          <w:rFonts w:ascii="Times New Roman" w:cs="Times New Roman" w:eastAsia="Times New Roman" w:hAnsi="Times New Roman"/>
          <w:sz w:val="18"/>
          <w:szCs w:val="18"/>
          <w:color w:val="auto"/>
        </w:rPr>
        <w:t>– Renasant Corporation (NYSE: RNST) (the “Company”), the parent company of Renasant Bank,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pricing of its public offering of $300 million aggregate principal amount of 6.25% Fixed-to-Floating Rate Subordinated Notes due 2036 (the “Notes”). The Notes will bear interest from and including May 7, 2026 to, but excluding, June 1, 2031, at a fixed rate of 6.25% per annum, payable semi-annually in arrears. From and including June 1, 2031 to, but excluding, June 1, 2036 (unless redeemed prior to such date), the Notes will bear interest at a floating rate per annum equal to the Three-Month Term SOFR, plus 245 basis points, payable quarterly in arrears. The Company may redeem the Notes, in whole or in part, on or after June 1, 2031, at a price equal to 100% of the principal amount of the Notes being redeemed plus accrued and unpaid interest to, but excluding, the date of redemption.</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Notes are intended to qualify as Tier 2 capital for regulatory purposes. The Company intends to use the net proceeds from the Notes offering for general corporate purposes, including the potential redemption of the $40 million aggregate principal amount outstanding of the Company’s 5.50% Fixed-to-Floating Rate Subordinated Notes due September 1, 2031. The offering is expected to close on May 7, 2026, subject to the satisfaction of customary closing conditions.</w:t>
      </w:r>
    </w:p>
    <w:p>
      <w:pPr>
        <w:sectPr>
          <w:pgSz w:w="11900" w:h="16838" w:orient="portrait"/>
          <w:cols w:equalWidth="0" w:num="1">
            <w:col w:w="11020"/>
          </w:cols>
          <w:pgMar w:left="440" w:top="117" w:right="439" w:bottom="1440" w:gutter="0" w:footer="0" w:header="0"/>
          <w:type w:val="continuous"/>
        </w:sectPr>
      </w:pPr>
    </w:p>
    <w:bookmarkStart w:id="51" w:name="page52"/>
    <w:bookmarkEnd w:id="51"/>
    <w:p>
      <w:pPr>
        <w:ind w:right="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is acting as lead book-running manager for the offering, while Stephens Inc. is acting as active book-running manager. Park Place Capital Securities, Piper Sandler and Raymond James are serving as co-managers.</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Notes are being offered only by means of a prospectus supplement and accompanying base prospectus. The Company has filed a Registration Statement on Form S-3 (File No. 333-284828) (including a base prospectus) under the Securities Act of 1933, as amended, and a related preliminary prospectus supplement dated May 4, 2026 to the base prospectus contained in the registration statement with the Securities and Exchange Commission (the “SEC”), and it will file a final prospectus supplement relating to the offering of the Notes with the SEC.</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Copies of the preliminary prospectus supplement and accompanying base prospectus relating to the offering of the Notes may be obtained by visiting EDGAR 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Alternatively, the Company, any underwriter or any dealer participating in the offering will arrange to send you the base prospectus and the preliminary prospectus supplement if you request it by contacting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by email at USCapitalMarkets@kbw.com or Stephens Inc. at FISyndicateStephens@stephens.com.</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 Notes, nor shall there be any sale of the Notes, in any state or jurisdiction in which such offer, solicitation or sale would be unlawful prior to registration or qualification under the securities laws of any such state or jurisdiction. Any offering of the Notes is being made only by means of a written prospectus meeting the requirements of Section 10 of the Securities Act of 1933, as amended. The securities being offered have not been approved or disapproved by any regulatory authority, nor has any such authority passed upon the accuracy or adequacy of either prospectus supplement or the shelf registration statement or prospectus relating thereto.</w:t>
      </w:r>
    </w:p>
    <w:p>
      <w:pPr>
        <w:sectPr>
          <w:pgSz w:w="11900" w:h="16838" w:orient="portrait"/>
          <w:cols w:equalWidth="0" w:num="1">
            <w:col w:w="11000"/>
          </w:cols>
          <w:pgMar w:left="440" w:top="268"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RENASANT CORPORATION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Renasant Corporation is the parent of Renasant Bank, a 122-year-old financial services institution. Renasant has assets of approximately $27.1 billion and operates 282 banking, lending, mortgage and wealth management offices throughout the Southeast and also offers factoring and asset-based lending on a nationwide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may contain or incorporate by reference statements regarding the Company that constitute “forward-looking statements” within the meaning of Section 27A of the Securities Act of 1933, as amended (the “Securities Act”), and Section 21E of the Exchange Act. Statements preceded by, followed by or that otherwise include the words “believes,” “expects,” “projects,” “anticipates,” “intends,” “estimates,” “plans,” “potential,”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Management of the Company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of future performance and involve risks and uncertainties and, accordingly, investors should not place undue reliance on these forward-looking statements, which speak only as of the date they are made.</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the Company’s ability to remediate the material weakness in its internal control over financial reporting identified in the Company’s Annual Report on Form 10-K for the fiscal year ended December 1, 2025 filed with the SEC on March 2, 2026; (vi) competitive pressures in the consumer finance, commercial finance, financial services, asset management, retail banking, factoring,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w:t>
      </w:r>
    </w:p>
    <w:p>
      <w:pPr>
        <w:sectPr>
          <w:pgSz w:w="11900" w:h="16838" w:orient="portrait"/>
          <w:cols w:equalWidth="0" w:num="1">
            <w:col w:w="10960"/>
          </w:cols>
          <w:pgMar w:left="440" w:top="266" w:right="499" w:bottom="1440" w:gutter="0" w:footer="0" w:header="0"/>
        </w:sectPr>
      </w:pPr>
    </w:p>
    <w:bookmarkStart w:id="53" w:name="page54"/>
    <w:bookmarkEnd w:id="5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(xiii) an insufficient allowance for credit losses as a result of inaccurate assumptions; (xiv) changes in the sources and costs of the capital the Company uses to make loans and otherwise fund its operations due to deposit outflows, changes in the mix of deposits and the cost and availability of borrowings; (xv) general economic, market or business conditions, including the impact of inflation;</w:t>
      </w:r>
    </w:p>
    <w:p>
      <w:pPr>
        <w:spacing w:after="0" w:line="3" w:lineRule="exact"/>
        <w:rPr>
          <w:sz w:val="20"/>
          <w:szCs w:val="20"/>
          <w:color w:val="auto"/>
        </w:rPr>
      </w:pPr>
    </w:p>
    <w:p>
      <w:pPr>
        <w:jc w:val="both"/>
        <w:ind w:left="4" w:right="20" w:hanging="4"/>
        <w:spacing w:after="0" w:line="265" w:lineRule="auto"/>
        <w:tabs>
          <w:tab w:leader="none" w:pos="39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loan and deposit products and other financial services; (xvii) concentrations of deposit or credit exposure; (xviii) changes or the lack of changes in interest rates, yield curves and interest rate spread relationships; (xix) losses resulting from fraudulent activity, including loan and deposit fraud and social engineering attacks targeting the Company’s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or near the Company’s geographic area;</w:t>
      </w:r>
    </w:p>
    <w:p>
      <w:pPr>
        <w:ind w:left="4" w:right="140" w:hanging="4"/>
        <w:spacing w:after="0" w:line="253" w:lineRule="auto"/>
        <w:tabs>
          <w:tab w:leader="none" w:pos="4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spacing w:after="0" w:line="18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
      <w:numFmt w:val="bullet"/>
      <w:start w:val="1"/>
    </w:lvl>
  </w:abstractNum>
  <w:abstractNum w:abstractNumId="2">
    <w:nsid w:val="836C40E"/>
    <w:multiLevelType w:val="hybridMultilevel"/>
    <w:lvl w:ilvl="0">
      <w:lvlJc w:val="left"/>
      <w:lvlText w:val="(%1)"/>
      <w:numFmt w:val="lowerRoman"/>
      <w:start w:val="14"/>
    </w:lvl>
  </w:abstractNum>
  <w:abstractNum w:abstractNumId="3">
    <w:nsid w:val="2901D82"/>
    <w:multiLevelType w:val="hybridMultilevel"/>
    <w:lvl w:ilvl="0">
      <w:lvlJc w:val="left"/>
      <w:lvlText w:val="(%1)"/>
      <w:numFmt w:val="lowerRoman"/>
      <w:start w:val="16"/>
    </w:lvl>
  </w:abstractNum>
  <w:abstractNum w:abstractNumId="4">
    <w:nsid w:val="3A95F874"/>
    <w:multiLevelType w:val="hybridMultilevel"/>
    <w:lvl w:ilvl="0">
      <w:lvlJc w:val="left"/>
      <w:lvlText w:val="(%1)"/>
      <w:numFmt w:val="lowerRoman"/>
      <w:start w:val="1"/>
    </w:lvl>
  </w:abstractNum>
  <w:abstractNum w:abstractNumId="5">
    <w:nsid w:val="8138641"/>
    <w:multiLevelType w:val="hybridMultilevel"/>
    <w:lvl w:ilvl="0">
      <w:lvlJc w:val="left"/>
      <w:lvlText w:val="(%1)"/>
      <w:numFmt w:val="lowerRoman"/>
      <w:start w:val="2"/>
    </w:lvl>
  </w:abstractNum>
  <w:abstractNum w:abstractNumId="6">
    <w:nsid w:val="1E7FF521"/>
    <w:multiLevelType w:val="hybridMultilevel"/>
    <w:lvl w:ilvl="0">
      <w:lvlJc w:val="left"/>
      <w:lvlText w:val="(%1)"/>
      <w:numFmt w:val="lowerRoman"/>
      <w:start w:val="3"/>
    </w:lvl>
  </w:abstractNum>
  <w:abstractNum w:abstractNumId="7">
    <w:nsid w:val="7C3DBD3D"/>
    <w:multiLevelType w:val="hybridMultilevel"/>
    <w:lvl w:ilvl="0">
      <w:lvlJc w:val="left"/>
      <w:lvlText w:val="%1"/>
      <w:numFmt w:val="decimal"/>
      <w:start w:val="1"/>
    </w:lvl>
    <w:lvl w:ilvl="1">
      <w:lvlJc w:val="left"/>
      <w:lvlText w:val="(%2)"/>
      <w:numFmt w:val="lowerRoman"/>
      <w:start w:val="7"/>
    </w:lvl>
  </w:abstractNum>
  <w:abstractNum w:abstractNumId="8">
    <w:nsid w:val="737B8DDC"/>
    <w:multiLevelType w:val="hybridMultilevel"/>
    <w:lvl w:ilvl="0">
      <w:lvlJc w:val="left"/>
      <w:lvlText w:val="(%1)"/>
      <w:numFmt w:val="decimal"/>
      <w:start w:val="4"/>
    </w:lvl>
    <w:lvl w:ilvl="1">
      <w:lvlJc w:val="left"/>
      <w:lvlText w:val="(%2)"/>
      <w:numFmt w:val="lowerRoman"/>
      <w:start w:val="8"/>
    </w:lvl>
  </w:abstractNum>
  <w:abstractNum w:abstractNumId="9">
    <w:nsid w:val="6CEAF087"/>
    <w:multiLevelType w:val="hybridMultilevel"/>
    <w:lvl w:ilvl="0">
      <w:lvlJc w:val="left"/>
      <w:lvlText w:val="(%1)"/>
      <w:numFmt w:val="lowerRoman"/>
      <w:start w:val="9"/>
    </w:lvl>
  </w:abstractNum>
  <w:abstractNum w:abstractNumId="10">
    <w:nsid w:val="22221A70"/>
    <w:multiLevelType w:val="hybridMultilevel"/>
    <w:lvl w:ilvl="0">
      <w:lvlJc w:val="left"/>
      <w:lvlText w:val="(%1)"/>
      <w:numFmt w:val="lowerRoman"/>
      <w:start w:val="13"/>
    </w:lvl>
  </w:abstractNum>
  <w:abstractNum w:abstractNumId="11">
    <w:nsid w:val="4516DDE9"/>
    <w:multiLevelType w:val="hybridMultilevel"/>
    <w:lvl w:ilvl="0">
      <w:lvlJc w:val="left"/>
      <w:lvlText w:val="(%1)"/>
      <w:numFmt w:val="lowerRoman"/>
      <w:start w:val="20"/>
    </w:lvl>
  </w:abstractNum>
  <w:abstractNum w:abstractNumId="12">
    <w:nsid w:val="3006C83E"/>
    <w:multiLevelType w:val="hybridMultilevel"/>
    <w:lvl w:ilvl="0">
      <w:lvlJc w:val="left"/>
      <w:lvlText w:val="%1"/>
      <w:numFmt w:val="decimal"/>
      <w:start w:val="1"/>
    </w:lvl>
    <w:lvl w:ilvl="1">
      <w:lvlJc w:val="left"/>
      <w:lvlText w:val="(%2)"/>
      <w:numFmt w:val="lowerRoman"/>
      <w:start w:val="23"/>
    </w:lvl>
  </w:abstractNum>
  <w:abstractNum w:abstractNumId="13">
    <w:nsid w:val="614FD4A1"/>
    <w:multiLevelType w:val="hybridMultilevel"/>
    <w:lvl w:ilvl="0">
      <w:lvlJc w:val="left"/>
      <w:lvlText w:val="(%1)"/>
      <w:numFmt w:val="decimal"/>
      <w:start w:val="2"/>
    </w:lvl>
    <w:lvl w:ilvl="1">
      <w:lvlJc w:val="left"/>
      <w:lvlText w:val="(%2)"/>
      <w:numFmt w:val="lowerRoman"/>
      <w:start w:val="24"/>
    </w:lvl>
  </w:abstractNum>
  <w:abstractNum w:abstractNumId="14">
    <w:nsid w:val="419AC241"/>
    <w:multiLevelType w:val="hybridMultilevel"/>
    <w:lvl w:ilvl="0">
      <w:lvlJc w:val="left"/>
      <w:lvlText w:val="(%1)"/>
      <w:numFmt w:val="lowerRoman"/>
      <w:start w:val="26"/>
    </w:lvl>
  </w:abstractNum>
  <w:abstractNum w:abstractNumId="15">
    <w:nsid w:val="5577F8E1"/>
    <w:multiLevelType w:val="hybridMultilevel"/>
    <w:lvl w:ilvl="0">
      <w:lvlJc w:val="left"/>
      <w:lvlText w:val="(%1)"/>
      <w:numFmt w:val="lowerRoman"/>
      <w:start w:val="29"/>
    </w:lvl>
  </w:abstractNum>
  <w:abstractNum w:abstractNumId="16">
    <w:nsid w:val="440BADFC"/>
    <w:multiLevelType w:val="hybridMultilevel"/>
    <w:lvl w:ilvl="0">
      <w:lvlJc w:val="left"/>
      <w:lvlText w:val="(%1)"/>
      <w:numFmt w:val="lowerRoman"/>
      <w:start w:val="32"/>
    </w:lvl>
  </w:abstractNum>
  <w:abstractNum w:abstractNumId="17">
    <w:nsid w:val="5072367"/>
    <w:multiLevelType w:val="hybridMultilevel"/>
    <w:lvl w:ilvl="0">
      <w:lvlJc w:val="left"/>
      <w:lvlText w:val="(%1)"/>
      <w:numFmt w:val="lowerRoman"/>
      <w:start w:val="10"/>
    </w:lvl>
    <w:lvl w:ilvl="1">
      <w:lvlJc w:val="left"/>
      <w:lvlText w:val="(%2)"/>
      <w:numFmt w:val="lowerRoman"/>
      <w:start w:val="37"/>
    </w:lvl>
  </w:abstractNum>
  <w:abstractNum w:abstractNumId="18">
    <w:nsid w:val="3804823E"/>
    <w:multiLevelType w:val="hybridMultilevel"/>
    <w:lvl w:ilvl="0">
      <w:lvlJc w:val="left"/>
      <w:lvlText w:val="(%1)"/>
      <w:numFmt w:val="lowerRoman"/>
      <w:start w:val="39"/>
    </w:lvl>
    <w:lvl w:ilvl="1">
      <w:lvlJc w:val="left"/>
      <w:lvlText w:val="(%2)"/>
      <w:numFmt w:val="lowerRoman"/>
      <w:start w:val="1"/>
    </w:lvl>
    <w:lvl w:ilvl="2">
      <w:lvlJc w:val="left"/>
      <w:lvlText w:val="(%3)"/>
      <w:numFmt w:val="upperLetter"/>
      <w:start w:val="1"/>
    </w:lvl>
  </w:abstractNum>
  <w:abstractNum w:abstractNumId="19">
    <w:nsid w:val="77465F01"/>
    <w:multiLevelType w:val="hybridMultilevel"/>
    <w:lvl w:ilvl="0">
      <w:lvlJc w:val="left"/>
      <w:lvlText w:val="(%1)"/>
      <w:numFmt w:val="upperLetter"/>
      <w:start w:val="3"/>
    </w:lvl>
  </w:abstractNum>
  <w:abstractNum w:abstractNumId="20">
    <w:nsid w:val="7724C67E"/>
    <w:multiLevelType w:val="hybridMultilevel"/>
    <w:lvl w:ilvl="0">
      <w:lvlJc w:val="left"/>
      <w:lvlText w:val="(%1)"/>
      <w:numFmt w:val="lowerLetter"/>
      <w:start w:val="12"/>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2"/>
    </w:lvl>
  </w:abstractNum>
  <w:abstractNum w:abstractNumId="23">
    <w:nsid w:val="5E884ADC"/>
    <w:multiLevelType w:val="hybridMultilevel"/>
    <w:lvl w:ilvl="0">
      <w:lvlJc w:val="left"/>
      <w:lvlText w:val="(%1)"/>
      <w:numFmt w:val="lowerLetter"/>
      <w:start w:val="5"/>
    </w:lvl>
  </w:abstractNum>
  <w:abstractNum w:abstractNumId="24">
    <w:nsid w:val="51EAD36B"/>
    <w:multiLevelType w:val="hybridMultilevel"/>
    <w:lvl w:ilvl="0">
      <w:lvlJc w:val="left"/>
      <w:lvlText w:val="%1"/>
      <w:numFmt w:val="lowerLetter"/>
      <w:start w:val="1"/>
    </w:lvl>
    <w:lvl w:ilvl="1">
      <w:lvlJc w:val="left"/>
      <w:lvlText w:val="(%2)"/>
      <w:numFmt w:val="lowerLetter"/>
      <w:start w:val="8"/>
    </w:lvl>
  </w:abstractNum>
  <w:abstractNum w:abstractNumId="25">
    <w:nsid w:val="2D517796"/>
    <w:multiLevelType w:val="hybridMultilevel"/>
    <w:lvl w:ilvl="0">
      <w:lvlJc w:val="left"/>
      <w:lvlText w:val="(%1)"/>
      <w:numFmt w:val="lowerLetter"/>
      <w:start w:val="61"/>
    </w:lvl>
    <w:lvl w:ilvl="1">
      <w:lvlJc w:val="left"/>
      <w:lvlText w:val="(%2)"/>
      <w:numFmt w:val="lowerLetter"/>
      <w:start w:val="9"/>
    </w:lvl>
  </w:abstractNum>
  <w:abstractNum w:abstractNumId="26">
    <w:nsid w:val="580BD78F"/>
    <w:multiLevelType w:val="hybridMultilevel"/>
    <w:lvl w:ilvl="0">
      <w:lvlJc w:val="left"/>
      <w:lvlText w:val="(%1)"/>
      <w:numFmt w:val="lowerLetter"/>
      <w:start w:val="14"/>
    </w:lvl>
  </w:abstractNum>
  <w:abstractNum w:abstractNumId="27">
    <w:nsid w:val="153EA438"/>
    <w:multiLevelType w:val="hybridMultilevel"/>
    <w:lvl w:ilvl="0">
      <w:lvlJc w:val="left"/>
      <w:lvlText w:val="(%1)"/>
      <w:numFmt w:val="lowerLetter"/>
      <w:start w:val="15"/>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lowerLetter"/>
      <w:start w:val="2"/>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3"/>
    </w:lvl>
  </w:abstractNum>
  <w:abstractNum w:abstractNumId="32">
    <w:nsid w:val="1D4ED43B"/>
    <w:multiLevelType w:val="hybridMultilevel"/>
    <w:lvl w:ilvl="0">
      <w:lvlJc w:val="left"/>
      <w:lvlText w:val="(%1)"/>
      <w:numFmt w:val="lowerLetter"/>
      <w:start w:val="9"/>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Roman"/>
      <w:start w:val="1"/>
    </w:lvl>
  </w:abstractNum>
  <w:abstractNum w:abstractNumId="35">
    <w:nsid w:val="57E4CCAF"/>
    <w:multiLevelType w:val="hybridMultilevel"/>
    <w:lvl w:ilvl="0">
      <w:lvlJc w:val="left"/>
      <w:lvlText w:val="(%1)"/>
      <w:numFmt w:val="lowerRoman"/>
      <w:start w:val="2"/>
    </w:lvl>
  </w:abstractNum>
  <w:abstractNum w:abstractNumId="36">
    <w:nsid w:val="7A6D8D3C"/>
    <w:multiLevelType w:val="hybridMultilevel"/>
    <w:lvl w:ilvl="0">
      <w:lvlJc w:val="left"/>
      <w:lvlText w:val="(%1)"/>
      <w:numFmt w:val="lowerLetter"/>
      <w:start w:val="2"/>
    </w:lvl>
  </w:abstractNum>
  <w:abstractNum w:abstractNumId="37">
    <w:nsid w:val="4B588F54"/>
    <w:multiLevelType w:val="hybridMultilevel"/>
    <w:lvl w:ilvl="0">
      <w:lvlJc w:val="left"/>
      <w:lvlText w:val="(%1)"/>
      <w:numFmt w:val="lowerLetter"/>
      <w:start w:val="4"/>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Roman"/>
      <w:start w:val="3"/>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3"/>
    </w:lvl>
  </w:abstractNum>
  <w:abstractNum w:abstractNumId="44">
    <w:nsid w:val="579478FE"/>
    <w:multiLevelType w:val="hybridMultilevel"/>
    <w:lvl w:ilvl="0">
      <w:lvlJc w:val="left"/>
      <w:lvlText w:val="(%1)"/>
      <w:numFmt w:val="lowerRoman"/>
      <w:start w:val="1"/>
    </w:lvl>
  </w:abstractNum>
  <w:abstractNum w:abstractNumId="45">
    <w:nsid w:val="749ABB43"/>
    <w:multiLevelType w:val="hybridMultilevel"/>
    <w:lvl w:ilvl="0">
      <w:lvlJc w:val="left"/>
      <w:lvlText w:val="(%1)"/>
      <w:numFmt w:val="decimal"/>
      <w:start w:val="3"/>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5"/>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2"/>
    </w:lvl>
  </w:abstractNum>
  <w:abstractNum w:abstractNumId="51">
    <w:nsid w:val="70C6A529"/>
    <w:multiLevelType w:val="hybridMultilevel"/>
    <w:lvl w:ilvl="0">
      <w:lvlJc w:val="left"/>
      <w:lvlText w:val="(%1)"/>
      <w:numFmt w:val="decimal"/>
      <w:start w:val="662"/>
    </w:lvl>
  </w:abstractNum>
  <w:abstractNum w:abstractNumId="52">
    <w:nsid w:val="520EEDD1"/>
    <w:multiLevelType w:val="hybridMultilevel"/>
    <w:lvl w:ilvl="0">
      <w:lvlJc w:val="left"/>
      <w:lvlText w:val="(%1)"/>
      <w:numFmt w:val="lowerRoman"/>
      <w:start w:val="16"/>
    </w:lvl>
  </w:abstractNum>
  <w:abstractNum w:abstractNumId="53">
    <w:nsid w:val="374A3FE6"/>
    <w:multiLevelType w:val="hybridMultilevel"/>
    <w:lvl w:ilvl="0">
      <w:lvlJc w:val="left"/>
      <w:lvlText w:val="(%1)"/>
      <w:numFmt w:val="lowerRoman"/>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jpeg"/><Relationship Id="rId63" Type="http://schemas.openxmlformats.org/officeDocument/2006/relationships/image" Target="media/image53.jpeg"/><Relationship Id="rId64" Type="http://schemas.openxmlformats.org/officeDocument/2006/relationships/image" Target="media/image54.jpe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20" Type="http://schemas.openxmlformats.org/officeDocument/2006/relationships/hyperlink" Target="http://www.sec.gov/Archives/edgar/data/715072/000119312516687445/d240854dex41.htm" TargetMode="External"/><Relationship Id="rId21" Type="http://schemas.openxmlformats.org/officeDocument/2006/relationships/hyperlink" Target="http://www.sec.gov/Archives/edgar/data/715072/000071507226000046/exhibit41-fifthsupplementa.htm" TargetMode="External"/><Relationship Id="rId22" Type="http://schemas.openxmlformats.org/officeDocument/2006/relationships/hyperlink" Target="http://www.sec.gov/Archives/edgar/data/715072/000119312526202761/d260672d305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2026-05-07T16:13:40Z</dcterms:created>
  <dcterms:modified xsi:type="dcterms:W3CDTF">2026-05-07T16:13:40Z</dcterms:modified>
</cp:coreProperties>
</file>