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Mabry James C. IV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209 TROY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RENASANT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RNST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CFO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TUPELO</w:t>
            </w:r>
          </w:p>
        </w:tc>
        <w:tc>
          <w:tcPr>
            <w:tcW w:w="80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MS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38804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103,058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5,272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34.39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97,786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6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After the completion of the 2023 3-year performance cycle, this is the number of share forfeited from the target amount previously reported on 1/4 /2023.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Colton Wages, Attorney in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9890" TargetMode="External"/><Relationship Id="rId14" Type="http://schemas.openxmlformats.org/officeDocument/2006/relationships/hyperlink" Target="http://www.sec.gov/cgi-bin/browse-edgar?action=getcompany&amp;CIK=00007150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2026-03-23T12:38:54Z</dcterms:created>
  <dcterms:modified xsi:type="dcterms:W3CDTF">2026-03-23T12:38:54Z</dcterms:modified>
</cp:coreProperties>
</file>