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FORM 11-K</w:t>
      </w:r>
    </w:p>
    <w:p>
      <w:pPr>
        <w:sectPr>
          <w:pgSz w:w="11900" w:h="16838" w:orient="portrait"/>
          <w:cols w:equalWidth="0" w:num="1">
            <w:col w:w="9279"/>
          </w:cols>
          <w:pgMar w:left="1180" w:top="1440" w:right="1440" w:bottom="1440" w:gutter="0" w:footer="0" w:header="0"/>
        </w:sectPr>
      </w:pP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Wingdings" w:cs="Wingdings" w:eastAsia="Wingdings" w:hAnsi="Wingdings"/>
          <w:sz w:val="21"/>
          <w:szCs w:val="21"/>
          <w:b w:val="1"/>
          <w:bCs w:val="1"/>
          <w:color w:val="auto"/>
        </w:rPr>
        <w:t>ü</w:t>
      </w:r>
      <w:r>
        <w:rPr>
          <w:rFonts w:ascii="Times New Roman" w:cs="Times New Roman" w:eastAsia="Times New Roman" w:hAnsi="Times New Roman"/>
          <w:sz w:val="18"/>
          <w:szCs w:val="18"/>
          <w:color w:val="auto"/>
        </w:rPr>
        <w:t>]</w:t>
      </w:r>
    </w:p>
    <w:p>
      <w:pPr>
        <w:spacing w:after="0" w:line="39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FFFF"/>
        </w:rPr>
        <w:t>X</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ind w:left="460" w:right="1819" w:hanging="9"/>
        <w:spacing w:after="0" w:line="245" w:lineRule="auto"/>
        <w:rPr>
          <w:sz w:val="20"/>
          <w:szCs w:val="20"/>
          <w:color w:val="auto"/>
        </w:rPr>
      </w:pPr>
      <w:r>
        <w:rPr>
          <w:rFonts w:ascii="Times New Roman" w:cs="Times New Roman" w:eastAsia="Times New Roman" w:hAnsi="Times New Roman"/>
          <w:sz w:val="18"/>
          <w:szCs w:val="18"/>
          <w:color w:val="auto"/>
        </w:rPr>
        <w:t>Annual Report Pursuant to Section 15(d) of the Securities Exchange Act of 1934 For the fiscal year ended December 31, 2025</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Or</w:t>
      </w:r>
    </w:p>
    <w:p>
      <w:pPr>
        <w:spacing w:after="0" w:line="23" w:lineRule="exact"/>
        <w:rPr>
          <w:sz w:val="24"/>
          <w:szCs w:val="24"/>
          <w:color w:val="auto"/>
        </w:rPr>
      </w:pPr>
    </w:p>
    <w:p>
      <w:pPr>
        <w:ind w:left="460" w:right="1619" w:hanging="2"/>
        <w:spacing w:after="0" w:line="245" w:lineRule="auto"/>
        <w:rPr>
          <w:sz w:val="20"/>
          <w:szCs w:val="20"/>
          <w:color w:val="auto"/>
        </w:rPr>
      </w:pPr>
      <w:r>
        <w:rPr>
          <w:rFonts w:ascii="Times New Roman" w:cs="Times New Roman" w:eastAsia="Times New Roman" w:hAnsi="Times New Roman"/>
          <w:sz w:val="18"/>
          <w:szCs w:val="18"/>
          <w:color w:val="auto"/>
        </w:rPr>
        <w:t>Transition Report Pursuant to Section 15(d) of the Securities Exchange Act of 1934 For the transition period from ____ to ____</w:t>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color w:val="auto"/>
        </w:rPr>
        <w:t>Commission file number 001-13253</w:t>
      </w:r>
    </w:p>
    <w:p>
      <w:pPr>
        <w:spacing w:after="0" w:line="50"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25"/>
          <w:szCs w:val="25"/>
          <w:b w:val="1"/>
          <w:bCs w:val="1"/>
          <w:color w:val="auto"/>
        </w:rPr>
        <w:t>RENASANT BANK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-1221105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0" w:space="320"/>
            <w:col w:w="8099"/>
          </w:cols>
          <w:pgMar w:left="1180" w:top="1440" w:right="1440" w:bottom="1440" w:gutter="0" w:footer="0" w:header="0"/>
          <w:type w:val="continuous"/>
        </w:sectPr>
      </w:pPr>
    </w:p>
    <w:p>
      <w:pPr>
        <w:spacing w:after="0" w:line="19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B. Name of issuer of the securities held pursuant to the plan and the address of its principal executive office:</w:t>
      </w:r>
    </w:p>
    <w:p>
      <w:pPr>
        <w:spacing w:after="0" w:line="3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RENASANT CORPORATION</w:t>
      </w:r>
    </w:p>
    <w:p>
      <w:pPr>
        <w:spacing w:after="0" w:line="1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209 Troy Street</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Tupelo, MS 38804-4827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842010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1440"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11-K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860" w:type="dxa"/>
            <w:vAlign w:val="bottom"/>
          </w:tcPr>
          <w:p>
            <w:pPr>
              <w:ind w:left="510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40" w:type="dxa"/>
            <w:vAlign w:val="bottom"/>
          </w:tcPr>
          <w:p>
            <w:pPr>
              <w:spacing w:after="0"/>
              <w:rPr>
                <w:sz w:val="20"/>
                <w:szCs w:val="20"/>
                <w:color w:val="auto"/>
              </w:rPr>
            </w:pPr>
          </w:p>
        </w:tc>
      </w:tr>
      <w:tr>
        <w:trPr>
          <w:trHeight w:val="216"/>
        </w:trPr>
        <w:tc>
          <w:tcPr>
            <w:tcW w:w="108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50"/>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40" w:type="dxa"/>
            <w:vAlign w:val="bottom"/>
          </w:tcPr>
          <w:p>
            <w:pPr>
              <w:spacing w:after="0"/>
              <w:rPr>
                <w:sz w:val="24"/>
                <w:szCs w:val="24"/>
                <w:color w:val="auto"/>
              </w:rPr>
            </w:pPr>
          </w:p>
        </w:tc>
      </w:tr>
      <w:tr>
        <w:trPr>
          <w:trHeight w:val="486"/>
        </w:trPr>
        <w:tc>
          <w:tcPr>
            <w:tcW w:w="10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86"/>
        </w:trPr>
        <w:tc>
          <w:tcPr>
            <w:tcW w:w="10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for the Years Ended December 31, 2025 and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6"/>
        </w:trPr>
        <w:tc>
          <w:tcPr>
            <w:tcW w:w="10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340" w:type="dxa"/>
            <w:vAlign w:val="bottom"/>
          </w:tcPr>
          <w:p>
            <w:pPr>
              <w:spacing w:after="0"/>
              <w:rPr>
                <w:sz w:val="24"/>
                <w:szCs w:val="24"/>
                <w:color w:val="auto"/>
              </w:rPr>
            </w:pPr>
          </w:p>
        </w:tc>
      </w:tr>
      <w:tr>
        <w:trPr>
          <w:trHeight w:val="514"/>
        </w:trPr>
        <w:tc>
          <w:tcPr>
            <w:tcW w:w="10860" w:type="dxa"/>
            <w:vAlign w:val="bottom"/>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Schedule H, Line 4i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Schedule of Assets (Held at End of Year) as of December 31, 2025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58"/>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Plan Administrator and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Tupelo, 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Renasant Bank 401(k) Plan (the “Plan”) as of December 31, 2025 and 2024,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ERISA-required Supplemental Schedule H, line 4i-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Horne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8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287,126</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222,395</w:t>
            </w:r>
          </w:p>
        </w:tc>
      </w:tr>
      <w:tr>
        <w:trPr>
          <w:trHeight w:val="229"/>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Separately managed accounts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70,656</w:t>
            </w:r>
          </w:p>
        </w:tc>
      </w:tr>
      <w:tr>
        <w:trPr>
          <w:trHeight w:val="229"/>
        </w:trPr>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Renasant Corporation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r>
      <w:tr>
        <w:trPr>
          <w:trHeight w:val="223"/>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381,607</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315,498</w:t>
            </w:r>
          </w:p>
        </w:tc>
      </w:tr>
      <w:tr>
        <w:trPr>
          <w:trHeight w:val="257"/>
        </w:trPr>
        <w:tc>
          <w:tcPr>
            <w:tcW w:w="8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contributions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23"/>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receivables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37"/>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8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387,525</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320,210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w:t>
            </w: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w:t>
            </w:r>
          </w:p>
        </w:tc>
      </w:tr>
      <w:tr>
        <w:trPr>
          <w:trHeight w:val="223"/>
        </w:trPr>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w:t>
            </w:r>
          </w:p>
        </w:tc>
      </w:tr>
      <w:tr>
        <w:trPr>
          <w:trHeight w:val="257"/>
        </w:trPr>
        <w:tc>
          <w:tcPr>
            <w:tcW w:w="79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9"/>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Rollovers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23"/>
        </w:trPr>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contributions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23,373</w:t>
            </w:r>
          </w:p>
        </w:tc>
      </w:tr>
      <w:tr>
        <w:trPr>
          <w:trHeight w:val="256"/>
        </w:trPr>
        <w:tc>
          <w:tcPr>
            <w:tcW w:w="79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Deductions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w:t>
            </w:r>
          </w:p>
        </w:tc>
      </w:tr>
      <w:tr>
        <w:trPr>
          <w:trHeight w:val="230"/>
        </w:trPr>
        <w:tc>
          <w:tcPr>
            <w:tcW w:w="7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Administrative expenses and fees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7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deductions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35,456</w:t>
            </w:r>
          </w:p>
        </w:tc>
      </w:tr>
      <w:tr>
        <w:trPr>
          <w:trHeight w:val="257"/>
        </w:trPr>
        <w:tc>
          <w:tcPr>
            <w:tcW w:w="7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57"/>
        </w:trPr>
        <w:tc>
          <w:tcPr>
            <w:tcW w:w="7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Beginning of year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295,642</w:t>
            </w:r>
          </w:p>
        </w:tc>
      </w:tr>
      <w:tr>
        <w:trPr>
          <w:trHeight w:val="256"/>
        </w:trPr>
        <w:tc>
          <w:tcPr>
            <w:tcW w:w="79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23"/>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320,210</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Plan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of the Renasant Bank 401(k) Plan (the “Plan”) is provided for general information purposes only. Participants should refer to the Plan document for more complete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is a defined contribution plan that includes a “safe harbor” arrangement within the meaning of Section 401(k)(13) of the Internal Revenue Code of 1986, as amended (the “Internal Revenue Code”), and is subject to the provisions of the Employee Retirement Income Security Act of 1974, as amended (“ERISA”). The Plan covers substantially all employees of Renasant Bank (the “Bank”) and its parent company, Renasant Corporation (the “Company”), as well as all employees of the Company’s wholly-owned subsidiary, Park Place Capital Corporation and the Bank’s wholly-owned subsidiary, Continental Republic Capital, LLC.</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or its delegate may change the eligibility and other provisions of the Plan from time to time. The assets of the Plan are held with its fiduciary, the Bank (the “Trustee”). The recordkeeper for the Plan is Empower Annuity Insurance Company.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has been amended several times, including two amendments in 2025. The 2025 amendments provide that, effective January 1, 2026, 1) automatic deferrals shall not exceed 10% of compensation and 2) participants may elect to convert all or a portion of eligible pre-tax accounts to a post-tax In-Plan Roth conversion account.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July 1, 2024, the Bank sold substantially all of the assets of Renasant Insurance, Inc., the Bank’s wholly-owned subsidiary. As a result of the sale, terminated employees were presented the option to keep their account balances in the Plan or roll over their balance into another qualified retirement plan.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 2025, the Company completed its acquisition by merger of The First Bancshares, Inc. (“The First”), and The First’s subsidiary bank merged with and into the Bank. In connection with the merger, The First Bank 401(k) Plan (“The First Plan”) was terminated. Participants in The First Plan who continued employment with the Company or the Bank were allowed to roll over their account balances from The First Plan into the Plan. An aggregate of $32,374,846 from The First Plan was rolled into the Plan during the year ended December 31, 2025, and is included in “Rollovers” in the Statements of Changes in Net Assets Available for Benefits.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December 31, 2025, the Bank sold substantially all of the assets of Southwest Georgia Insurance Services, Inc., which it acquired in connection with the Company’s acquisition of The First. As a result of the sale, terminated employees were presented the option to keep their account balances in the Plan or roll over their account balances into another qualified retirement plan.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Common law employees, other than employees subject to a collective bargaining agreement, certain nonresident aliens who have no earned income from sources within the United States and leased employees, are immediately eligible to participate in the Plan. Independent contractors or similar workers are not eligible.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Participants may voluntarily defer compensation up to applicable Internal Revenue Service (“IRS”) limits, as defined in the Plan document. Eligible employees are automatically enrolled to contribute 4% of compensation into the Plan during the first year of eligibility followed by an annual increase of one percentage point up to a maximum of 6%. As mentioned above, the Plan was amended in 2025, such that beginning in 2026 the maximum automatic deferral is 10% of compensation. Any deferrals in excess of applicable IRS limits, if any, are distributed to the participant in accordance with the terms of the Plan and are included in the line item “Corrective distributions” in the Statements of Changes in Net Assets Available for Benefits. There were no corrective distributions for the years ended December 31, 2025 and 2024. Participants may also roll over distributions from other qualified retirement plans, subject to the approval of the Plan administrator.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the Plan allow participants who were age 50 years or older during the calendar year to make catch-up contributions to the Plan. Catch-up contributions represent participant compensation deferrals in excess of regular plan and statutory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Plan (continued)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matches each eligible participant’s voluntary deferrals, including catch-up contributions, up to 4% of compensation. The Bank may elect to make a profit sharing contribution in any year, allocated as a level percentage of the compensation of each eligible participant and the same percentage of compensation of each eligible participant in excess of the Social Security wage base. If the Bank elects to make a discretionary profit sharing contribution to non-executive participants, such contributions are made and allocated at the end of the Plan Year to the accounts of eligible participants (a) who are employed on the last day of the Plan Year and are credited with 1,000 hours of service during such year, (b) who die or become disabled during the Plan Year, or (c) who attain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normal retirement age while employed. No additional contributions are allocated to money purchase accounts or Employee Stock Ownership Plan (“ESOP”) accounts.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Participant Accounts</w:t>
      </w:r>
      <w:r>
        <w:rPr>
          <w:rFonts w:ascii="Times New Roman" w:cs="Times New Roman" w:eastAsia="Times New Roman" w:hAnsi="Times New Roman"/>
          <w:sz w:val="18"/>
          <w:szCs w:val="18"/>
          <w:color w:val="auto"/>
        </w:rPr>
        <w:t>: The Plan maintains one or more accounts for each participant, including a money purchase account for participants in a predecessor plan - The Peoples Bank &amp; Trust Company Money Purchase Plan - and an ESOP account for those participants who previously participated in the Renasant Bank Employee Stock Ownership Plan. Deferrals and rollover contributions are allocated to the participant’s accounts when made.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Participants direct the investment of their accounts in an ERISA Section 404(c) arrangement. Earnings are allocated to accounts each business day. The Plan allows participants to invest in common stock of the Company (“Employer Stock”). Participants may elect annually whether cash dividends paid on Employer Stock will be re-invested in additional shares of Employer Stock within the individual participant’s account or be paid to the participant in cash.</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Participants are fully vested in deferrals and rollovers and earnings allocable to such contributions. Nondiscretionary profit sharing contributions vest under a six-year graduated schedule as presented below:</w:t>
      </w:r>
    </w:p>
    <w:p>
      <w:pPr>
        <w:spacing w:after="0" w:line="151"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23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Years of Service</w:t>
            </w: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Vested %</w:t>
            </w:r>
          </w:p>
        </w:tc>
      </w:tr>
      <w:tr>
        <w:trPr>
          <w:trHeight w:val="207"/>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two</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Two, but less than three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but less than four</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 but less than five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Five, but less than six</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Six or more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harbor matching contributions vest 100% after two years of service.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Forfeitures</w:t>
      </w:r>
      <w:r>
        <w:rPr>
          <w:rFonts w:ascii="Times New Roman" w:cs="Times New Roman" w:eastAsia="Times New Roman" w:hAnsi="Times New Roman"/>
          <w:sz w:val="18"/>
          <w:szCs w:val="18"/>
          <w:color w:val="auto"/>
        </w:rPr>
        <w:t>: Forfeitures of non-vested contributions are used to reduce future employer contributions or to pay plan expenses. There were forfeitures used in the amount of $203,152 and $187,159 for the years ended December 31, 2025 and 2024, respectively. At December 31, 2025 and 2024, forfeited non-vested accounts totaled $256,346 and $200,402, respectively.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Benefits are equal to the vested value of each participant’s accounts. Upon termination of service, disability or death, benefits are paid upon request in the form of a single sum, except those amounts allocable to a participant’s money purchase account, which are paid in the form of an annuity, unless a participant otherwise elects. Immediate lump-sum distributions may be made to terminated participants if the participant’s vested account balance is $1,000 or less. For terminated participants with vested balances greater than $1,000, but less than $7,000, the participant’s vested balance may be automatically rolled into an individual retirement account unless otherwise elected. Participants may also withdraw an amount at age 59½ if certain criteria are met.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Participants may borrow from their fund accounts up to a maximum equal to the lesser of $50,000 or 50% of their vested account balance with a minimum of $1,000. Loan terms range from one to five years, unless the loan is for the purchase of a principal residence, in which case the loan term has a maximum of ten years. The loans are secured by the balance in the participant’s accounts and bear interest at 1% over the Prime Rate published in The Wall Street Journal on the first business day of the month before the loan is originated.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Plan (continued)</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the Prime Rate was 6.75%. The interest rate is fixed for the life of the loan. Principal and interest are paid ratably through payroll deductions.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Basis of Accounting</w:t>
      </w:r>
      <w:r>
        <w:rPr>
          <w:rFonts w:ascii="Times New Roman" w:cs="Times New Roman" w:eastAsia="Times New Roman" w:hAnsi="Times New Roman"/>
          <w:sz w:val="18"/>
          <w:szCs w:val="18"/>
          <w:color w:val="auto"/>
        </w:rPr>
        <w:t>: The Plan’s financial statements are prepared using the accrual basis of accounting, with the exception of the payment of benefits, which are recognized as a reduction in the net assets available for benefits of the Plan as they are disbursed to participants.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(“U.S. GAAP”) requires the Plan administrator to make estimates and assumptions that affect certain reported amounts and disclosures. Accordingly, actual results may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Processing fees of the Plan are charged against the account balance for the individual participant responsible for the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are paid by the Plan or may be paid by the Company at the Company’s discretion.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Benefits:</w:t>
      </w:r>
      <w:r>
        <w:rPr>
          <w:rFonts w:ascii="Times New Roman" w:cs="Times New Roman" w:eastAsia="Times New Roman" w:hAnsi="Times New Roman"/>
          <w:sz w:val="18"/>
          <w:szCs w:val="18"/>
          <w:color w:val="auto"/>
        </w:rPr>
        <w:t xml:space="preserve"> Benefits are recorded when paid.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Contributions Receivable:</w:t>
      </w:r>
      <w:r>
        <w:rPr>
          <w:rFonts w:ascii="Times New Roman" w:cs="Times New Roman" w:eastAsia="Times New Roman" w:hAnsi="Times New Roman"/>
          <w:sz w:val="18"/>
          <w:szCs w:val="18"/>
          <w:color w:val="auto"/>
        </w:rPr>
        <w:t xml:space="preserve"> Participant contributions and any related employer matching contributions are recognized in the period during which the participant’s related service is completed. Non-elective or profit sharing contributions are recorded in the relevant period in accordance with the terms in the Plan document.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Investment Valuation and Income Recognition</w:t>
      </w:r>
      <w:r>
        <w:rPr>
          <w:rFonts w:ascii="Times New Roman" w:cs="Times New Roman" w:eastAsia="Times New Roman" w:hAnsi="Times New Roman"/>
          <w:sz w:val="18"/>
          <w:szCs w:val="18"/>
          <w:color w:val="auto"/>
        </w:rPr>
        <w:t>: Investments are reported at fair value. Fair value is the price that would be received to sell an asset or paid to transfer a liability in an arms-length transaction between market participants at the measurement date. Refer to Note G, “Fair Value Measurements,” for a discussion of the methods and assumptions used by the Plan to estimate the fair values of the Plan’s investments. Purchases and sales of securities are recorded on a trade-date basis. Interest income is recorded on the accrual basis. Dividends are recorded on the ex-dividend date. Net appreciation in the fair value of investments, as recorded in the Statements of Changes in Net Assets Available for Benefits, includes changes in the fair value of investments acquired, sold or held during the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Notes receivable from participants are measured at their unpaid principal balance plus any accrued but unpaid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recorded on the accrual basis.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The Plan has evaluated, for consideration of recognition or disclosure, subsequent events that have occurred after December 31, 2025 through June 24, 2026, the date of issuance of its financial statements.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events that required adjustment to or disclosure in the financial statements occurred prior to the issuance of the accompanying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Related Party and Party-In-Interest Transactions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sponsors the Plan. Common stock of the Company is one of the investment options in the Plan. The Bank is the trustee of the Plan. Empower Annuity Insurance Company and related subsidiaries are third party administrators of the Plan. Transactions between the Plan and these entities constitute exempt party-in-interest transactions. As of December 31, 2025 and 2024, the Plan held 678,299 shares and 627,893 shares, respectively, of common stock of the Company, with a cost basis of $19,309,039 and $16,842,515, respectively. During the years ended December 31, 2025 and 2024, the Plan recorded dividend income of $578,846 and $575,713, respectively. Purchases and sales of shares by the Plan totaled $7,706,938 and $6,389,353, respectively for the year ended December 31, 2025 and $2,760,169 and $3,544,851, respectively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Related Party and Party-In-Interest Transactions (continued)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Plan’s investments are offered in the form of separately managed accounts, each consisting of mutual funds. Although these separately managed accounts bear the name of Renasant Bank, they do not consist of shares of the Company, and the underlying mutual funds are not proprietary to the Company.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issues loans to participants which are secured by the vested balance of the participant’s account and pays certain expenses related to plan operations and investment activity to various service providers. These transactions are party-in-interest transactions, which are exempt from prohibited transaction rules under ERISA.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Risks and Uncertainties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Tax Status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obtained its latest determination letter on July 27, 2017, in which the IRS stated that the Plan was in compliance with the applicable requirements of the Internal Revenue Code. The Plan sponsor believes the Plan is currently designed and being operated in compliance with the applicable requirements of the Internal Revenue Code. Therefore, no provision for income taxes has been included in the Plan’s financial statements.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IRS examinations in progress for any tax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Plan Termination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at any time to terminate the Plan, in whole or in part, subject to the provisions of ERISA. In the event of Plan termination, affected participants will become 100% vested in their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Fair Value Measurements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Accounting Standards Board Accounting Standards Codification Topic 820, “Fair Value Measurements,” provides guidance for using fair value to measure assets and liabilities and also establishes a fair value hierarchy that prioritizes the inputs to valuation techniques used to measure fair value into three broad levels. The fair value hierarchy gives the highest priority to a valuation based on quoted prices in active markets for identical assets and liabilities (Level 1), moderate priority to a valuation based on quoted prices in active markets for similar assets and liabilities and/or based on assumptions that are observable in the market (Level 2), and the lowest priority to a valuation based on assumptions that are not observable in the market (Level 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are used by the Plan to estimate the fair values of the Plan’s financial instruments on a recurring basis: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These investments are valued using the Net Asset Value (“NAV”) provided by the administrator of the fund. The NAV is calculated by subtracting a fund’s liabilities from its assets and then dividing by the number of outstanding shares. Mutual funds held by the Plan are open-end mutual funds that are registered with the Securities and Exchange Commission. These funds are required to publish their daily NAV and transact at that price. The mutual funds held by the Plan are deemed to be actively traded.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Fair Value Measurements (continued)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Separately managed accounts</w:t>
      </w:r>
      <w:r>
        <w:rPr>
          <w:rFonts w:ascii="Times New Roman" w:cs="Times New Roman" w:eastAsia="Times New Roman" w:hAnsi="Times New Roman"/>
          <w:sz w:val="18"/>
          <w:szCs w:val="18"/>
          <w:color w:val="auto"/>
        </w:rPr>
        <w:t>: These self-managed funds consist of a portfolio of assets under the management of a professional investment firm and primarily consist of mutual funds valued using prices obtained from independent pricing services. (Level 1)</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Renasant Corporation common stock</w:t>
      </w:r>
      <w:r>
        <w:rPr>
          <w:rFonts w:ascii="Times New Roman" w:cs="Times New Roman" w:eastAsia="Times New Roman" w:hAnsi="Times New Roman"/>
          <w:sz w:val="18"/>
          <w:szCs w:val="18"/>
          <w:color w:val="auto"/>
        </w:rPr>
        <w:t>: The Company’s common stock, par value $5.00 per share, is traded on the New York Stock Exchange and is valued using the closing price on the last day of the Plan year. (Level 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Plan’s financial instruments that are measured at fair value on a recurring basis at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4"/>
                <w:szCs w:val="14"/>
                <w:color w:val="auto"/>
              </w:rPr>
            </w:pPr>
          </w:p>
        </w:tc>
        <w:tc>
          <w:tcPr>
            <w:tcW w:w="1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 Identical</w:t>
            </w: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20" w:type="dxa"/>
            <w:vAlign w:val="bottom"/>
          </w:tcPr>
          <w:p>
            <w:pPr>
              <w:spacing w:after="0"/>
              <w:rPr>
                <w:sz w:val="18"/>
                <w:szCs w:val="18"/>
                <w:color w:val="auto"/>
              </w:rPr>
            </w:pPr>
          </w:p>
        </w:tc>
        <w:tc>
          <w:tcPr>
            <w:tcW w:w="14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287,126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287,126</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70,591</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Renasant Corporation common stock</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23,890</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381,607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381,607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222,395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222,395</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70,656</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Renasant Corporation common stock</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22,447</w:t>
            </w:r>
          </w:p>
        </w:tc>
        <w:tc>
          <w:tcPr>
            <w:tcW w:w="0" w:type="dxa"/>
            <w:vAlign w:val="bottom"/>
          </w:tcPr>
          <w:p>
            <w:pPr>
              <w:spacing w:after="0"/>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315,498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315,498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between levels of the fair value hierarchy are reported at the beginning of the reporting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type w:val="continuous"/>
        </w:sectPr>
      </w:pPr>
    </w:p>
    <w:bookmarkStart w:id="11" w:name="page12"/>
    <w:bookmarkEnd w:id="11"/>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 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 / Plan Number: 004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398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640" w:type="dxa"/>
            <w:vAlign w:val="bottom"/>
            <w:tcBorders>
              <w:top w:val="single" w:sz="8" w:color="auto"/>
            </w:tcBorders>
          </w:tcPr>
          <w:p>
            <w:pPr>
              <w:ind w:left="44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2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(d) Cost</w:t>
            </w: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460" w:type="dxa"/>
            <w:vAlign w:val="bottom"/>
            <w:tcBorders>
              <w:bottom w:val="single" w:sz="8" w:color="auto"/>
            </w:tcBorders>
            <w:vMerge w:val="continue"/>
          </w:tcPr>
          <w:p>
            <w:pPr>
              <w:spacing w:after="0"/>
              <w:rPr>
                <w:sz w:val="18"/>
                <w:szCs w:val="18"/>
                <w:color w:val="auto"/>
              </w:rPr>
            </w:pPr>
          </w:p>
        </w:tc>
        <w:tc>
          <w:tcPr>
            <w:tcW w:w="3980" w:type="dxa"/>
            <w:vAlign w:val="bottom"/>
            <w:tcBorders>
              <w:bottom w:val="single" w:sz="8" w:color="auto"/>
            </w:tcBorders>
            <w:vMerge w:val="continue"/>
          </w:tcPr>
          <w:p>
            <w:pPr>
              <w:spacing w:after="0"/>
              <w:rPr>
                <w:sz w:val="18"/>
                <w:szCs w:val="18"/>
                <w:color w:val="auto"/>
              </w:rPr>
            </w:pPr>
          </w:p>
        </w:tc>
        <w:tc>
          <w:tcPr>
            <w:tcW w:w="4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3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Equity and fixed income mutual funds</w:t>
            </w:r>
          </w:p>
        </w:tc>
        <w:tc>
          <w:tcPr>
            <w:tcW w:w="4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American Century</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 Cap Growth R6</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Baird</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Brandywine GLOBAL</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High Yield IS</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Buffalo</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International Institutional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Dodge &amp; Cox</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Fund Class I</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4"/>
                <w:szCs w:val="14"/>
                <w:color w:val="auto"/>
              </w:rPr>
              <w:t>**</w:t>
            </w: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19,242</w:t>
            </w:r>
          </w:p>
        </w:tc>
        <w:tc>
          <w:tcPr>
            <w:tcW w:w="0" w:type="dxa"/>
            <w:vAlign w:val="bottom"/>
          </w:tcPr>
          <w:p>
            <w:pPr>
              <w:spacing w:after="0"/>
              <w:rPr>
                <w:sz w:val="1"/>
                <w:szCs w:val="1"/>
                <w:color w:val="auto"/>
              </w:rPr>
            </w:pPr>
          </w:p>
        </w:tc>
      </w:tr>
      <w:tr>
        <w:trPr>
          <w:trHeight w:val="213"/>
        </w:trPr>
        <w:tc>
          <w:tcPr>
            <w:tcW w:w="460" w:type="dxa"/>
            <w:vAlign w:val="bottom"/>
          </w:tcPr>
          <w:p>
            <w:pPr>
              <w:jc w:val="center"/>
              <w:ind w:left="23"/>
              <w:spacing w:after="0"/>
              <w:rPr>
                <w:sz w:val="20"/>
                <w:szCs w:val="20"/>
                <w:color w:val="auto"/>
              </w:rPr>
            </w:pPr>
            <w:r>
              <w:rPr>
                <w:rFonts w:ascii="Times New Roman" w:cs="Times New Roman" w:eastAsia="Times New Roman" w:hAnsi="Times New Roman"/>
                <w:sz w:val="14"/>
                <w:szCs w:val="14"/>
                <w:color w:val="auto"/>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Hermes Intl Small-Mid Co FD</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4"/>
                <w:szCs w:val="14"/>
                <w:color w:val="auto"/>
              </w:rPr>
              <w:t>**</w:t>
            </w: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MDT Large Cap Growth R6</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0" w:type="dxa"/>
            <w:vAlign w:val="bottom"/>
          </w:tcPr>
          <w:p>
            <w:pPr>
              <w:spacing w:after="0"/>
              <w:rPr>
                <w:sz w:val="1"/>
                <w:szCs w:val="1"/>
                <w:color w:val="auto"/>
              </w:rPr>
            </w:pPr>
          </w:p>
        </w:tc>
      </w:tr>
      <w:tr>
        <w:trPr>
          <w:trHeight w:val="229"/>
        </w:trPr>
        <w:tc>
          <w:tcPr>
            <w:tcW w:w="460" w:type="dxa"/>
            <w:vAlign w:val="bottom"/>
          </w:tcPr>
          <w:p>
            <w:pPr>
              <w:jc w:val="center"/>
              <w:ind w:left="3"/>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Core Bond R6</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23,543</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Undiscovered MGRS Behavioral Value L</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Matthews Asia</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Small Companies Institutional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MFS</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Putnam</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Large Cap Value R6</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Retirement 2015</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Retirement 2020</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Retirement 2025</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13,642</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Retirement 2030</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21,885</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Retirement 2035</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Retirement 2040</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16,305</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Retirement 2045</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Retirement 2050</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Retirement 2055</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Retirement 2060</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Retirement 2065</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Value Line</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Mid Cap Focused Institutional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Developed Markets Index Admiral</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Large Cap Index Admiral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Mid Cap Index Admiral</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Small Cap Index Fund Admiral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Intl Stock Index Admiral</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 MRK Index Admiral</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24,639</w:t>
            </w:r>
          </w:p>
        </w:tc>
        <w:tc>
          <w:tcPr>
            <w:tcW w:w="0" w:type="dxa"/>
            <w:vAlign w:val="bottom"/>
          </w:tcPr>
          <w:p>
            <w:pPr>
              <w:spacing w:after="0"/>
              <w:rPr>
                <w:sz w:val="1"/>
                <w:szCs w:val="1"/>
                <w:color w:val="auto"/>
              </w:rPr>
            </w:pPr>
          </w:p>
        </w:tc>
      </w:tr>
      <w:tr>
        <w:trPr>
          <w:trHeight w:val="243"/>
        </w:trPr>
        <w:tc>
          <w:tcPr>
            <w:tcW w:w="46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tcPr>
          <w:p>
            <w:pPr>
              <w:spacing w:after="0"/>
              <w:rPr>
                <w:sz w:val="21"/>
                <w:szCs w:val="21"/>
                <w:color w:val="auto"/>
              </w:rPr>
            </w:pPr>
          </w:p>
        </w:tc>
        <w:tc>
          <w:tcPr>
            <w:tcW w:w="46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287,126</w:t>
            </w:r>
          </w:p>
        </w:tc>
        <w:tc>
          <w:tcPr>
            <w:tcW w:w="0" w:type="dxa"/>
            <w:vAlign w:val="bottom"/>
          </w:tcPr>
          <w:p>
            <w:pPr>
              <w:spacing w:after="0"/>
              <w:rPr>
                <w:sz w:val="1"/>
                <w:szCs w:val="1"/>
                <w:color w:val="auto"/>
              </w:rPr>
            </w:pPr>
          </w:p>
        </w:tc>
      </w:tr>
      <w:tr>
        <w:trPr>
          <w:trHeight w:val="742"/>
        </w:trPr>
        <w:tc>
          <w:tcPr>
            <w:tcW w:w="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 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 / Plan Number: 004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38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640" w:type="dxa"/>
            <w:vAlign w:val="bottom"/>
            <w:tcBorders>
              <w:top w:val="single" w:sz="8" w:color="auto"/>
            </w:tcBorders>
          </w:tcPr>
          <w:p>
            <w:pPr>
              <w:ind w:left="44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2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(d) Cost</w:t>
            </w: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880" w:type="dxa"/>
            <w:vAlign w:val="bottom"/>
            <w:tcBorders>
              <w:bottom w:val="single" w:sz="8" w:color="auto"/>
            </w:tcBorders>
            <w:gridSpan w:val="3"/>
            <w:vMerge w:val="continue"/>
          </w:tcPr>
          <w:p>
            <w:pPr>
              <w:spacing w:after="0"/>
              <w:rPr>
                <w:sz w:val="18"/>
                <w:szCs w:val="18"/>
                <w:color w:val="auto"/>
              </w:rPr>
            </w:pPr>
          </w:p>
        </w:tc>
        <w:tc>
          <w:tcPr>
            <w:tcW w:w="4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87"/>
        </w:trPr>
        <w:tc>
          <w:tcPr>
            <w:tcW w:w="56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Separately managed accounts (fund of funds)</w:t>
            </w:r>
          </w:p>
        </w:tc>
        <w:tc>
          <w:tcPr>
            <w:tcW w:w="46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8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Income Account:</w:t>
            </w:r>
          </w:p>
        </w:tc>
        <w:tc>
          <w:tcPr>
            <w:tcW w:w="4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American Century</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Small Cap Growth R6</w:t>
            </w: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Baird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Brandywine GLOBAL</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High Yield IS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Buffalo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Fund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Cohen &amp; Steers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Real Estate Securities Z</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Dodge &amp; Cox</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Fund Class I</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Hermes International Small-Mid Company</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Hermes Total Return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MDT Large Cap Growth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Hartford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Value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Core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Matthews Asia</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Markets Small Co</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Pimco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International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Putnam</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Schwab</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 Line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Focused Fund Institutional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Renasant Bank Income Fund</w:t>
            </w:r>
          </w:p>
        </w:tc>
        <w:tc>
          <w:tcPr>
            <w:tcW w:w="4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0" w:type="dxa"/>
            <w:vAlign w:val="bottom"/>
          </w:tcPr>
          <w:p>
            <w:pPr>
              <w:spacing w:after="0"/>
              <w:rPr>
                <w:sz w:val="1"/>
                <w:szCs w:val="1"/>
                <w:color w:val="auto"/>
              </w:rPr>
            </w:pPr>
          </w:p>
        </w:tc>
      </w:tr>
      <w:tr>
        <w:trPr>
          <w:trHeight w:val="259"/>
        </w:trPr>
        <w:tc>
          <w:tcPr>
            <w:tcW w:w="5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6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8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Conservative Growth Account:</w:t>
            </w:r>
          </w:p>
        </w:tc>
        <w:tc>
          <w:tcPr>
            <w:tcW w:w="4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American Century</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Small Cap Growth R6</w:t>
            </w: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Baird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Brandywine GLOBAL</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High Yield IS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Buffalo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Fund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Cohen &amp; Steers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Real Estate Securities Z</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Dodge &amp; Cox</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Fund Class I</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Hermes International Small-Mid Company</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Hermes Total Return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 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 / Plan Number: 004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38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640" w:type="dxa"/>
            <w:vAlign w:val="bottom"/>
            <w:tcBorders>
              <w:top w:val="single" w:sz="8" w:color="auto"/>
            </w:tcBorders>
          </w:tcPr>
          <w:p>
            <w:pPr>
              <w:ind w:left="44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2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(d) Cost</w:t>
            </w: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880" w:type="dxa"/>
            <w:vAlign w:val="bottom"/>
            <w:tcBorders>
              <w:bottom w:val="single" w:sz="8" w:color="auto"/>
            </w:tcBorders>
            <w:gridSpan w:val="2"/>
            <w:vMerge w:val="continue"/>
          </w:tcPr>
          <w:p>
            <w:pPr>
              <w:spacing w:after="0"/>
              <w:rPr>
                <w:sz w:val="18"/>
                <w:szCs w:val="18"/>
                <w:color w:val="auto"/>
              </w:rPr>
            </w:pPr>
          </w:p>
        </w:tc>
        <w:tc>
          <w:tcPr>
            <w:tcW w:w="4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MDT Large Cap Growth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Hartford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Value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Core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Matthews Asia</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Markets Small Co</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Pimco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International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Putnam</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Schwab</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 Line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Focused Fund Institutional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Renasant Bank Conservative Growth Plan</w:t>
            </w:r>
          </w:p>
        </w:tc>
        <w:tc>
          <w:tcPr>
            <w:tcW w:w="4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19,244</w:t>
            </w:r>
          </w:p>
        </w:tc>
        <w:tc>
          <w:tcPr>
            <w:tcW w:w="0" w:type="dxa"/>
            <w:vAlign w:val="bottom"/>
          </w:tcPr>
          <w:p>
            <w:pPr>
              <w:spacing w:after="0"/>
              <w:rPr>
                <w:sz w:val="1"/>
                <w:szCs w:val="1"/>
                <w:color w:val="auto"/>
              </w:rPr>
            </w:pPr>
          </w:p>
        </w:tc>
      </w:tr>
      <w:tr>
        <w:trPr>
          <w:trHeight w:val="259"/>
        </w:trPr>
        <w:tc>
          <w:tcPr>
            <w:tcW w:w="56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6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Moderate Growth Account:</w:t>
            </w:r>
          </w:p>
        </w:tc>
        <w:tc>
          <w:tcPr>
            <w:tcW w:w="4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American Century</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Small Cap Growth R6</w:t>
            </w: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Baird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Brandywine GLOBAL</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High Yield IS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Buffalo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Fund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Cohen &amp; Steers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Real Estate Securities Z</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Dodge &amp; Cox</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Fund Class I</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Hermes International Small-Mid Company</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Hermes Total Return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MDT Large Cap Growth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Hartford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Value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Core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Matthews Asia</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Markets Small Co</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Pimco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International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 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 / Plan Number: 004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38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640" w:type="dxa"/>
            <w:vAlign w:val="bottom"/>
            <w:tcBorders>
              <w:top w:val="single" w:sz="8" w:color="auto"/>
            </w:tcBorders>
          </w:tcPr>
          <w:p>
            <w:pPr>
              <w:ind w:left="44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2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(d) Cost</w:t>
            </w: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880" w:type="dxa"/>
            <w:vAlign w:val="bottom"/>
            <w:tcBorders>
              <w:bottom w:val="single" w:sz="8" w:color="auto"/>
            </w:tcBorders>
            <w:gridSpan w:val="3"/>
            <w:vMerge w:val="continue"/>
          </w:tcPr>
          <w:p>
            <w:pPr>
              <w:spacing w:after="0"/>
              <w:rPr>
                <w:sz w:val="18"/>
                <w:szCs w:val="18"/>
                <w:color w:val="auto"/>
              </w:rPr>
            </w:pPr>
          </w:p>
        </w:tc>
        <w:tc>
          <w:tcPr>
            <w:tcW w:w="4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Putnam</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Schwab</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 Line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Focused Fund Institutional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Renasant Bank Moderate Growth Plan</w:t>
            </w:r>
          </w:p>
        </w:tc>
        <w:tc>
          <w:tcPr>
            <w:tcW w:w="4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18,414</w:t>
            </w:r>
          </w:p>
        </w:tc>
        <w:tc>
          <w:tcPr>
            <w:tcW w:w="0" w:type="dxa"/>
            <w:vAlign w:val="bottom"/>
          </w:tcPr>
          <w:p>
            <w:pPr>
              <w:spacing w:after="0"/>
              <w:rPr>
                <w:sz w:val="1"/>
                <w:szCs w:val="1"/>
                <w:color w:val="auto"/>
              </w:rPr>
            </w:pPr>
          </w:p>
        </w:tc>
      </w:tr>
      <w:tr>
        <w:trPr>
          <w:trHeight w:val="259"/>
        </w:trPr>
        <w:tc>
          <w:tcPr>
            <w:tcW w:w="56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8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Growth Account:</w:t>
            </w:r>
          </w:p>
        </w:tc>
        <w:tc>
          <w:tcPr>
            <w:tcW w:w="4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American Century</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Small Cap Growth R6</w:t>
            </w: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Baird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Brandywine GLOBAL</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High Yield IS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Buffalo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Fund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Cohen &amp; Steers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Real Estate Securities Z</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Dodge &amp; Cox</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Fund Class I</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Hermes International Small-Mid Company</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Hermes Total Return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MDT Large Cap Growth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Hartford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International Value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Core Bond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Matthews Asia</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Markets Small Co</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Pimco</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International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Putnam</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Value R6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Schwab</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 Line</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Mid Cap Focused Fund Institutional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Renasant Bank Growth Plan</w:t>
            </w:r>
          </w:p>
        </w:tc>
        <w:tc>
          <w:tcPr>
            <w:tcW w:w="4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8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Aggressive Growth Account:</w:t>
            </w:r>
          </w:p>
        </w:tc>
        <w:tc>
          <w:tcPr>
            <w:tcW w:w="4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American Century</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Small Cap Growth R6</w:t>
            </w: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Baird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Buffalo</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International Fund Institutional</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Renasant Bank 401(k) Plan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 / Plan Number: 004</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398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640" w:type="dxa"/>
            <w:vAlign w:val="bottom"/>
            <w:tcBorders>
              <w:top w:val="single" w:sz="8" w:color="auto"/>
            </w:tcBorders>
          </w:tcPr>
          <w:p>
            <w:pPr>
              <w:ind w:left="44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220" w:type="dxa"/>
            <w:vAlign w:val="bottom"/>
            <w:tcBorders>
              <w:top w:val="single" w:sz="8" w:color="auto"/>
            </w:tcBorders>
            <w:gridSpan w:val="2"/>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(d) Cost</w:t>
            </w: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460" w:type="dxa"/>
            <w:vAlign w:val="bottom"/>
            <w:tcBorders>
              <w:bottom w:val="single" w:sz="8" w:color="auto"/>
            </w:tcBorders>
            <w:vMerge w:val="continue"/>
          </w:tcPr>
          <w:p>
            <w:pPr>
              <w:spacing w:after="0"/>
              <w:rPr>
                <w:sz w:val="18"/>
                <w:szCs w:val="18"/>
                <w:color w:val="auto"/>
              </w:rPr>
            </w:pPr>
          </w:p>
        </w:tc>
        <w:tc>
          <w:tcPr>
            <w:tcW w:w="3980" w:type="dxa"/>
            <w:vAlign w:val="bottom"/>
            <w:tcBorders>
              <w:bottom w:val="single" w:sz="8" w:color="auto"/>
            </w:tcBorders>
            <w:vMerge w:val="continue"/>
          </w:tcPr>
          <w:p>
            <w:pPr>
              <w:spacing w:after="0"/>
              <w:rPr>
                <w:sz w:val="18"/>
                <w:szCs w:val="18"/>
                <w:color w:val="auto"/>
              </w:rPr>
            </w:pPr>
          </w:p>
        </w:tc>
        <w:tc>
          <w:tcPr>
            <w:tcW w:w="4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Cohen &amp; Steers</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Real Estate Securities Z</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Dodge &amp; Cox</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Stock Fund Class 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Hermes International Small-Mid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Hermes Total Return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Federated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MDT Large Cap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First Eagle</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Hartford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International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Core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Matthews Asia</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Emerging Markets Small Co</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MFS</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Pimco</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International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Putnam</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Large Cap Value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Schwab</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Value Line</w:t>
            </w:r>
          </w:p>
        </w:tc>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Mid Cap Focused Fund Institutional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46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Renasant Bank Aggressive Growth Plan</w:t>
            </w:r>
          </w:p>
        </w:tc>
        <w:tc>
          <w:tcPr>
            <w:tcW w:w="4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13,922</w:t>
            </w:r>
          </w:p>
        </w:tc>
        <w:tc>
          <w:tcPr>
            <w:tcW w:w="0" w:type="dxa"/>
            <w:vAlign w:val="bottom"/>
          </w:tcPr>
          <w:p>
            <w:pPr>
              <w:spacing w:after="0"/>
              <w:rPr>
                <w:sz w:val="1"/>
                <w:szCs w:val="1"/>
                <w:color w:val="auto"/>
              </w:rPr>
            </w:pPr>
          </w:p>
        </w:tc>
      </w:tr>
      <w:tr>
        <w:trPr>
          <w:trHeight w:val="54"/>
        </w:trPr>
        <w:tc>
          <w:tcPr>
            <w:tcW w:w="460" w:type="dxa"/>
            <w:vAlign w:val="bottom"/>
            <w:tcBorders>
              <w:bottom w:val="single" w:sz="8" w:color="CCEEFF"/>
            </w:tcBorders>
          </w:tcPr>
          <w:p>
            <w:pPr>
              <w:spacing w:after="0"/>
              <w:rPr>
                <w:sz w:val="4"/>
                <w:szCs w:val="4"/>
                <w:color w:val="auto"/>
              </w:rPr>
            </w:pPr>
          </w:p>
        </w:tc>
        <w:tc>
          <w:tcPr>
            <w:tcW w:w="3980" w:type="dxa"/>
            <w:vAlign w:val="bottom"/>
            <w:tcBorders>
              <w:bottom w:val="single" w:sz="8" w:color="CCEEFF"/>
            </w:tcBorders>
          </w:tcPr>
          <w:p>
            <w:pPr>
              <w:spacing w:after="0"/>
              <w:rPr>
                <w:sz w:val="4"/>
                <w:szCs w:val="4"/>
                <w:color w:val="auto"/>
              </w:rPr>
            </w:pPr>
          </w:p>
        </w:tc>
        <w:tc>
          <w:tcPr>
            <w:tcW w:w="46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Separately managed accounts (fund of funds)</w:t>
            </w:r>
          </w:p>
        </w:tc>
        <w:tc>
          <w:tcPr>
            <w:tcW w:w="4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70,591</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Common stock fund</w:t>
            </w:r>
          </w:p>
        </w:tc>
        <w:tc>
          <w:tcPr>
            <w:tcW w:w="4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Renasant Corporation</w:t>
            </w:r>
          </w:p>
        </w:tc>
        <w:tc>
          <w:tcPr>
            <w:tcW w:w="4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Common Stock</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23,890</w:t>
            </w:r>
          </w:p>
        </w:tc>
        <w:tc>
          <w:tcPr>
            <w:tcW w:w="0" w:type="dxa"/>
            <w:vAlign w:val="bottom"/>
          </w:tcPr>
          <w:p>
            <w:pPr>
              <w:spacing w:after="0"/>
              <w:rPr>
                <w:sz w:val="1"/>
                <w:szCs w:val="1"/>
                <w:color w:val="auto"/>
              </w:rPr>
            </w:pPr>
          </w:p>
        </w:tc>
      </w:tr>
    </w:tbl>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Receivables</w:t>
      </w:r>
    </w:p>
    <w:p>
      <w:pPr>
        <w:sectPr>
          <w:pgSz w:w="11900" w:h="16838" w:orient="portrait"/>
          <w:cols w:equalWidth="0" w:num="1">
            <w:col w:w="11280"/>
          </w:cols>
          <w:pgMar w:left="280" w:top="1440" w:right="339" w:bottom="1440" w:gutter="0" w:footer="0" w:header="0"/>
        </w:sectPr>
      </w:pPr>
    </w:p>
    <w:p>
      <w:pPr>
        <w:ind w:left="240"/>
        <w:spacing w:after="0"/>
        <w:tabs>
          <w:tab w:leader="none" w:pos="580" w:val="left"/>
          <w:tab w:leader="none" w:pos="4900" w:val="left"/>
        </w:tabs>
        <w:rPr>
          <w:sz w:val="20"/>
          <w:szCs w:val="20"/>
          <w:color w:val="auto"/>
        </w:rPr>
      </w:pPr>
      <w:r>
        <w:rPr>
          <w:rFonts w:ascii="Times New Roman" w:cs="Times New Roman" w:eastAsia="Times New Roman" w:hAnsi="Times New Roman"/>
          <w:sz w:val="23"/>
          <w:szCs w:val="23"/>
          <w:color w:val="auto"/>
          <w:vertAlign w:val="superscript"/>
        </w:rPr>
        <w:t>**</w:t>
      </w:r>
      <w:r>
        <w:rPr>
          <w:sz w:val="20"/>
          <w:szCs w:val="20"/>
          <w:color w:val="auto"/>
        </w:rPr>
        <w:tab/>
      </w:r>
      <w:r>
        <w:rPr>
          <w:rFonts w:ascii="Times New Roman" w:cs="Times New Roman" w:eastAsia="Times New Roman" w:hAnsi="Times New Roman"/>
          <w:sz w:val="13"/>
          <w:szCs w:val="13"/>
          <w:color w:val="auto"/>
        </w:rPr>
        <w:t>Notes Receivable from Participants</w:t>
      </w:r>
      <w:r>
        <w:rPr>
          <w:sz w:val="20"/>
          <w:szCs w:val="20"/>
          <w:color w:val="auto"/>
        </w:rPr>
        <w:tab/>
      </w:r>
      <w:r>
        <w:rPr>
          <w:rFonts w:ascii="Times New Roman" w:cs="Times New Roman" w:eastAsia="Times New Roman" w:hAnsi="Times New Roman"/>
          <w:sz w:val="16"/>
          <w:szCs w:val="16"/>
          <w:color w:val="auto"/>
        </w:rPr>
        <w:t>Range of interest rates from 4.25% to 9.50% with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-109855</wp:posOffset>
            </wp:positionV>
            <wp:extent cx="71323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6"/>
          <w:szCs w:val="16"/>
          <w:color w:val="auto"/>
        </w:rPr>
        <w:t>dates through 2035</w:t>
      </w:r>
    </w:p>
    <w:p>
      <w:pPr>
        <w:spacing w:after="0" w:line="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99" w:lineRule="exact"/>
        <w:rPr>
          <w:sz w:val="20"/>
          <w:szCs w:val="20"/>
          <w:color w:val="auto"/>
        </w:rPr>
      </w:pPr>
    </w:p>
    <w:p>
      <w:pPr>
        <w:ind w:left="220" w:hanging="213"/>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allocation plan administered by Renasant Trust Division-not a registered equity mutual fund under the Investment Company Act of 1940, as amended.</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party-in-interest.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Cost information has been omitted for participant-directed investments.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7"/>
        </w:trPr>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 xml:space="preserve">*** </w:t>
            </w:r>
            <w:r>
              <w:rPr>
                <w:rFonts w:ascii="Times New Roman" w:cs="Times New Roman" w:eastAsia="Times New Roman" w:hAnsi="Times New Roman"/>
                <w:sz w:val="32"/>
                <w:szCs w:val="32"/>
                <w:color w:val="auto"/>
                <w:w w:val="85"/>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w:t>
            </w:r>
          </w:p>
        </w:tc>
      </w:tr>
    </w:tbl>
    <w:p>
      <w:pPr>
        <w:spacing w:after="0" w:line="24" w:lineRule="exact"/>
        <w:rPr>
          <w:sz w:val="20"/>
          <w:szCs w:val="20"/>
          <w:color w:val="auto"/>
        </w:rPr>
      </w:pPr>
    </w:p>
    <w:p>
      <w:pPr>
        <w:ind w:left="720" w:hanging="476"/>
        <w:spacing w:after="0"/>
        <w:tabs>
          <w:tab w:leader="none" w:pos="7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386,923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46355</wp:posOffset>
            </wp:positionV>
            <wp:extent cx="694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140" w:lineRule="exact"/>
        <w:rPr>
          <w:sz w:val="20"/>
          <w:szCs w:val="20"/>
          <w:color w:val="auto"/>
        </w:rPr>
      </w:pPr>
    </w:p>
    <w:p>
      <w:pPr>
        <w:sectPr>
          <w:pgSz w:w="11900" w:h="16838" w:orient="portrait"/>
          <w:cols w:equalWidth="0" w:num="2">
            <w:col w:w="9240" w:space="720"/>
            <w:col w:w="1320"/>
          </w:cols>
          <w:pgMar w:left="280" w:top="1440" w:right="339" w:bottom="1440" w:gutter="0" w:footer="0" w:header="0"/>
          <w:type w:val="continuous"/>
        </w:sect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440"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duly caused this Annual Report on Form 11-K to be signed on its behalf by the undersigned hereunto duly authorized.</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RENASANT BANK 401(k) PLAN</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Date:June 24, 2026</w:t>
            </w:r>
          </w:p>
        </w:tc>
        <w:tc>
          <w:tcPr>
            <w:tcW w:w="5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by:/s/ Leslie Ausbon</w:t>
            </w:r>
          </w:p>
        </w:tc>
      </w:tr>
      <w:tr>
        <w:trPr>
          <w:trHeight w:val="218"/>
        </w:trPr>
        <w:tc>
          <w:tcPr>
            <w:tcW w:w="3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Leslie Ausbon</w:t>
            </w:r>
          </w:p>
        </w:tc>
      </w:tr>
      <w:tr>
        <w:trPr>
          <w:trHeight w:val="230"/>
        </w:trPr>
        <w:tc>
          <w:tcPr>
            <w:tcW w:w="3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4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24"/>
                <w:szCs w:val="24"/>
                <w:color w:val="auto"/>
              </w:rPr>
            </w:pPr>
          </w:p>
        </w:tc>
        <w:tc>
          <w:tcPr>
            <w:tcW w:w="9140" w:type="dxa"/>
            <w:vAlign w:val="bottom"/>
            <w:gridSpan w:val="2"/>
            <w:vMerge w:val="restart"/>
          </w:tcPr>
          <w:p>
            <w:pPr>
              <w:ind w:left="42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93"/>
        </w:trPr>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9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333-104445, 333-122514, 333-150355, and 333-197555) of Renasant Corporation of our report dated June 24, 2026, relating to the financial statements and supplemental schedule of Renasant Bank 401(k) Plan which appear in this Form 11-K for the year ended December 31,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 (Formerly Horne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2026-06-25T05:04:12Z</dcterms:created>
  <dcterms:modified xsi:type="dcterms:W3CDTF">2026-06-25T05:04:12Z</dcterms:modified>
</cp:coreProperties>
</file>