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333-284828</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80"/>
        </w:trPr>
        <w:tc>
          <w:tcPr>
            <w:tcW w:w="720" w:type="dxa"/>
            <w:vAlign w:val="bottom"/>
            <w:textDirection w:val="btLr"/>
          </w:tcPr>
          <w:p>
            <w:pPr>
              <w:ind w:left="618"/>
              <w:spacing w:after="0"/>
              <w:rPr>
                <w:sz w:val="20"/>
                <w:szCs w:val="20"/>
                <w:color w:val="auto"/>
              </w:rPr>
            </w:pPr>
            <w:r>
              <w:rPr>
                <w:rFonts w:ascii="Arial" w:cs="Arial" w:eastAsia="Arial" w:hAnsi="Arial"/>
                <w:sz w:val="1"/>
                <w:szCs w:val="1"/>
                <w:b w:val="1"/>
                <w:bCs w:val="1"/>
                <w:color w:val="FF4338"/>
                <w:w w:val="22"/>
              </w:rPr>
              <w:t>supplementisnotcompleteandmaybechanged.Aregistrationstatementrelatingtothesecuritiesof1933,asamended.Thispreliminaryprospectussupplementandtheaccompanyingprospectusnotsolicitinganoffertobuythesesecuritiesinanyjurisdictionwheresuchofferorsaleisnot</w:t>
            </w:r>
          </w:p>
        </w:tc>
        <w:tc>
          <w:tcPr>
            <w:tcW w:w="6240" w:type="dxa"/>
            <w:vAlign w:val="bottom"/>
            <w:vMerge w:val="restart"/>
          </w:tcPr>
          <w:p>
            <w:pPr>
              <w:ind w:left="3320"/>
              <w:spacing w:after="0"/>
              <w:rPr>
                <w:sz w:val="20"/>
                <w:szCs w:val="20"/>
                <w:color w:val="auto"/>
              </w:rPr>
            </w:pPr>
            <w:r>
              <w:rPr>
                <w:rFonts w:ascii="Times New Roman" w:cs="Times New Roman" w:eastAsia="Times New Roman" w:hAnsi="Times New Roman"/>
                <w:sz w:val="16"/>
                <w:szCs w:val="16"/>
                <w:b w:val="1"/>
                <w:bCs w:val="1"/>
                <w:color w:val="FF4338"/>
              </w:rPr>
              <w:t>Subject to Completion, Dated May 4, 2026</w:t>
            </w: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6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4"/>
                <w:szCs w:val="24"/>
                <w:color w:val="auto"/>
              </w:rPr>
            </w:pPr>
          </w:p>
        </w:tc>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 Prospectus dated February 11, 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80645</wp:posOffset>
            </wp:positionV>
            <wp:extent cx="258889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20" w:type="dxa"/>
        <w:tblCellMar>
          <w:top w:w="0" w:type="dxa"/>
          <w:left w:w="0" w:type="dxa"/>
          <w:bottom w:w="0" w:type="dxa"/>
          <w:right w:w="0" w:type="dxa"/>
        </w:tblCellMar>
      </w:tblPr>
      <w:tr>
        <w:trPr>
          <w:trHeight w:val="38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400" w:type="dxa"/>
            <w:vAlign w:val="bottom"/>
          </w:tcPr>
          <w:p>
            <w:pPr>
              <w:ind w:left="200"/>
              <w:spacing w:after="0"/>
              <w:rPr>
                <w:sz w:val="20"/>
                <w:szCs w:val="20"/>
                <w:color w:val="auto"/>
              </w:rPr>
            </w:pPr>
            <w:r>
              <w:rPr>
                <w:rFonts w:ascii="Times New Roman" w:cs="Times New Roman" w:eastAsia="Times New Roman" w:hAnsi="Times New Roman"/>
                <w:sz w:val="25"/>
                <w:szCs w:val="25"/>
                <w:b w:val="1"/>
                <w:bCs w:val="1"/>
                <w:color w:val="auto"/>
                <w:w w:val="71"/>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29"/>
                <w:szCs w:val="29"/>
                <w:b w:val="1"/>
                <w:bCs w:val="1"/>
                <w:color w:val="auto"/>
              </w:rPr>
              <w:t>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6"/>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460" w:type="dxa"/>
            <w:vAlign w:val="bottom"/>
            <w:gridSpan w:val="13"/>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   % Fixed-to-Floating Rate Subordinated Notes due 2036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20" w:type="dxa"/>
            <w:vAlign w:val="bottom"/>
            <w:gridSpan w:val="4"/>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640" w:type="dxa"/>
            <w:vAlign w:val="bottom"/>
            <w:gridSpan w:val="4"/>
          </w:tcPr>
          <w:p>
            <w:pPr>
              <w:spacing w:after="0"/>
              <w:rPr>
                <w:sz w:val="18"/>
                <w:szCs w:val="18"/>
                <w:color w:val="auto"/>
              </w:rPr>
            </w:pPr>
          </w:p>
        </w:tc>
        <w:tc>
          <w:tcPr>
            <w:tcW w:w="1080" w:type="dxa"/>
            <w:vAlign w:val="bottom"/>
            <w:gridSpan w:val="5"/>
          </w:tcPr>
          <w:p>
            <w:pPr>
              <w:spacing w:after="0"/>
              <w:rPr>
                <w:sz w:val="18"/>
                <w:szCs w:val="18"/>
                <w:color w:val="auto"/>
              </w:rPr>
            </w:pPr>
          </w:p>
        </w:tc>
      </w:tr>
      <w:tr>
        <w:trPr>
          <w:trHeight w:val="29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6"/>
              </w:rPr>
              <w:t>aggregate principal amount of our  </w:t>
            </w:r>
          </w:p>
        </w:tc>
        <w:tc>
          <w:tcPr>
            <w:tcW w:w="4860" w:type="dxa"/>
            <w:vAlign w:val="bottom"/>
            <w:gridSpan w:val="18"/>
          </w:tcPr>
          <w:p>
            <w:pPr>
              <w:jc w:val="right"/>
              <w:spacing w:after="0"/>
              <w:rPr>
                <w:sz w:val="20"/>
                <w:szCs w:val="20"/>
                <w:color w:val="auto"/>
              </w:rPr>
            </w:pPr>
            <w:r>
              <w:rPr>
                <w:rFonts w:ascii="Times New Roman" w:cs="Times New Roman" w:eastAsia="Times New Roman" w:hAnsi="Times New Roman"/>
                <w:sz w:val="16"/>
                <w:szCs w:val="16"/>
                <w:color w:val="auto"/>
              </w:rPr>
              <w:t>% Fixed-to-Floating Rate Subordinated Notes due 2036 (which we refer to</w:t>
            </w:r>
          </w:p>
        </w:tc>
      </w:tr>
      <w:tr>
        <w:trPr>
          <w:trHeight w:val="203"/>
        </w:trPr>
        <w:tc>
          <w:tcPr>
            <w:tcW w:w="860" w:type="dxa"/>
            <w:vAlign w:val="bottom"/>
          </w:tcPr>
          <w:p>
            <w:pPr>
              <w:spacing w:after="0"/>
              <w:rPr>
                <w:sz w:val="17"/>
                <w:szCs w:val="17"/>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9"/>
              </w:rPr>
              <w:t>as the “Notes”). The Notes will mature on 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504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w w:val="98"/>
              </w:rPr>
              <w:t>   , 2036. From and including the date of original issuance to, but excluding 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2031</w:t>
            </w:r>
          </w:p>
        </w:tc>
      </w:tr>
      <w:tr>
        <w:trPr>
          <w:trHeight w:val="203"/>
        </w:trPr>
        <w:tc>
          <w:tcPr>
            <w:tcW w:w="860" w:type="dxa"/>
            <w:vAlign w:val="bottom"/>
          </w:tcPr>
          <w:p>
            <w:pPr>
              <w:spacing w:after="0"/>
              <w:rPr>
                <w:sz w:val="17"/>
                <w:szCs w:val="17"/>
                <w:color w:val="auto"/>
              </w:rPr>
            </w:pPr>
          </w:p>
        </w:tc>
        <w:tc>
          <w:tcPr>
            <w:tcW w:w="4780" w:type="dxa"/>
            <w:vAlign w:val="bottom"/>
            <w:gridSpan w:val="12"/>
          </w:tcPr>
          <w:p>
            <w:pPr>
              <w:spacing w:after="0"/>
              <w:rPr>
                <w:sz w:val="20"/>
                <w:szCs w:val="20"/>
                <w:color w:val="auto"/>
              </w:rPr>
            </w:pPr>
            <w:r>
              <w:rPr>
                <w:rFonts w:ascii="Times New Roman" w:cs="Times New Roman" w:eastAsia="Times New Roman" w:hAnsi="Times New Roman"/>
                <w:sz w:val="16"/>
                <w:szCs w:val="16"/>
                <w:color w:val="auto"/>
                <w:w w:val="99"/>
              </w:rPr>
              <w:t>or the date of earlier redemption, the Notes will bear interest at a rate of  </w:t>
            </w:r>
          </w:p>
        </w:tc>
        <w:tc>
          <w:tcPr>
            <w:tcW w:w="3460" w:type="dxa"/>
            <w:vAlign w:val="bottom"/>
            <w:gridSpan w:val="13"/>
          </w:tcPr>
          <w:p>
            <w:pPr>
              <w:ind w:left="60"/>
              <w:spacing w:after="0"/>
              <w:rPr>
                <w:sz w:val="20"/>
                <w:szCs w:val="20"/>
                <w:color w:val="auto"/>
              </w:rPr>
            </w:pPr>
            <w:r>
              <w:rPr>
                <w:rFonts w:ascii="Times New Roman" w:cs="Times New Roman" w:eastAsia="Times New Roman" w:hAnsi="Times New Roman"/>
                <w:sz w:val="16"/>
                <w:szCs w:val="16"/>
                <w:color w:val="auto"/>
              </w:rPr>
              <w:t>% per annum, payable semi-annually in arrears on 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and</w:t>
            </w:r>
          </w:p>
        </w:tc>
      </w:tr>
      <w:tr>
        <w:trPr>
          <w:trHeight w:val="203"/>
        </w:trPr>
        <w:tc>
          <w:tcPr>
            <w:tcW w:w="8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of each year, commencing on 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2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2026. From and including 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w w:val="95"/>
              </w:rPr>
              <w:t>, 2031, to, but excluding,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48"/>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 2036 or the date of</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earlier redemption, the Notes will bear interest at a floating rate per annum equal to a benchmark rate (which is expected to be Three-Month</w:t>
            </w:r>
          </w:p>
        </w:tc>
      </w:tr>
      <w:tr>
        <w:trPr>
          <w:trHeight w:val="203"/>
        </w:trPr>
        <w:tc>
          <w:tcPr>
            <w:tcW w:w="860" w:type="dxa"/>
            <w:vAlign w:val="bottom"/>
          </w:tcPr>
          <w:p>
            <w:pPr>
              <w:spacing w:after="0"/>
              <w:rPr>
                <w:sz w:val="17"/>
                <w:szCs w:val="17"/>
                <w:color w:val="auto"/>
              </w:rPr>
            </w:pPr>
          </w:p>
        </w:tc>
        <w:tc>
          <w:tcPr>
            <w:tcW w:w="320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6"/>
              </w:rPr>
              <w:t>Term SOFR (as defined herein)) plus a spread of </w:t>
            </w:r>
          </w:p>
        </w:tc>
        <w:tc>
          <w:tcPr>
            <w:tcW w:w="37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 xml:space="preserve">         basis points, payable quarterly in arrears on 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71"/>
              </w:rPr>
              <w:t>and 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w w:val="92"/>
              </w:rPr>
              <w:t>   of each year, commencing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5560" w:type="dxa"/>
            <w:vAlign w:val="bottom"/>
            <w:gridSpan w:val="19"/>
          </w:tcPr>
          <w:p>
            <w:pPr>
              <w:ind w:left="80"/>
              <w:spacing w:after="0"/>
              <w:rPr>
                <w:sz w:val="20"/>
                <w:szCs w:val="20"/>
                <w:color w:val="auto"/>
              </w:rPr>
            </w:pPr>
            <w:r>
              <w:rPr>
                <w:rFonts w:ascii="Times New Roman" w:cs="Times New Roman" w:eastAsia="Times New Roman" w:hAnsi="Times New Roman"/>
                <w:sz w:val="16"/>
                <w:szCs w:val="16"/>
                <w:color w:val="auto"/>
                <w:w w:val="99"/>
              </w:rPr>
              <w:t>   , 2031. Notwithstanding the foregoing, if the benchmark rate is less than zero, the</w:t>
            </w:r>
          </w:p>
        </w:tc>
        <w:tc>
          <w:tcPr>
            <w:tcW w:w="480" w:type="dxa"/>
            <w:vAlign w:val="bottom"/>
          </w:tcPr>
          <w:p>
            <w:pPr>
              <w:spacing w:after="0"/>
              <w:rPr>
                <w:sz w:val="17"/>
                <w:szCs w:val="17"/>
                <w:color w:val="auto"/>
              </w:rPr>
            </w:pPr>
          </w:p>
        </w:tc>
      </w:tr>
      <w:tr>
        <w:trPr>
          <w:trHeight w:val="210"/>
        </w:trPr>
        <w:tc>
          <w:tcPr>
            <w:tcW w:w="860" w:type="dxa"/>
            <w:vAlign w:val="bottom"/>
          </w:tcPr>
          <w:p>
            <w:pPr>
              <w:spacing w:after="0"/>
              <w:rPr>
                <w:sz w:val="18"/>
                <w:szCs w:val="18"/>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benchmark rate will be deemed to be zero.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0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gridSpan w:val="18"/>
          </w:tcPr>
          <w:p>
            <w:pPr>
              <w:ind w:left="80"/>
              <w:spacing w:after="0"/>
              <w:rPr>
                <w:sz w:val="20"/>
                <w:szCs w:val="20"/>
                <w:color w:val="auto"/>
              </w:rPr>
            </w:pPr>
            <w:r>
              <w:rPr>
                <w:rFonts w:ascii="Times New Roman" w:cs="Times New Roman" w:eastAsia="Times New Roman" w:hAnsi="Times New Roman"/>
                <w:sz w:val="16"/>
                <w:szCs w:val="16"/>
                <w:color w:val="auto"/>
                <w:w w:val="99"/>
              </w:rPr>
              <w:t>We may, at our option, redeem the Notes (1) in whole or in part beginning with the interest payment date of 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2031, and on any</w:t>
            </w:r>
          </w:p>
        </w:tc>
      </w:tr>
      <w:tr>
        <w:trPr>
          <w:trHeight w:val="203"/>
        </w:trPr>
        <w:tc>
          <w:tcPr>
            <w:tcW w:w="860" w:type="dxa"/>
            <w:vAlign w:val="bottom"/>
          </w:tcPr>
          <w:p>
            <w:pPr>
              <w:spacing w:after="0"/>
              <w:rPr>
                <w:sz w:val="17"/>
                <w:szCs w:val="17"/>
                <w:color w:val="auto"/>
              </w:rPr>
            </w:pPr>
          </w:p>
        </w:tc>
        <w:tc>
          <w:tcPr>
            <w:tcW w:w="876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date thereafter or (2) in whole but not in part upon the occurrence of a “Tax Event,” a “Tier 2 Capital Event” or Renasant Corporation</w:t>
            </w:r>
          </w:p>
        </w:tc>
        <w:tc>
          <w:tcPr>
            <w:tcW w:w="4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becoming required to register as an investment company pursuant to the Investment Company Act of 1940, as amended. The redemption price</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for any redemption is 100% of the principal amount of the Notes, plus accrued and unpaid interest thereon to, but excluding, the date of</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redemption. Any redemption of the Notes will be subject to the receipt of the approval of the Board of Governors of the Federal Reserve</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System (the “Federal Reserve”) (or, as and if applicable, the rules of any appropriate successor bank regulatory agency) to the extent then</w:t>
            </w:r>
          </w:p>
        </w:tc>
      </w:tr>
      <w:tr>
        <w:trPr>
          <w:trHeight w:val="210"/>
        </w:trPr>
        <w:tc>
          <w:tcPr>
            <w:tcW w:w="86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required under applicable laws or regulations, including capital regulations.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0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40" w:type="dxa"/>
            <w:vAlign w:val="bottom"/>
            <w:gridSpan w:val="28"/>
          </w:tcPr>
          <w:p>
            <w:pPr>
              <w:ind w:left="80"/>
              <w:spacing w:after="0"/>
              <w:rPr>
                <w:sz w:val="20"/>
                <w:szCs w:val="20"/>
                <w:color w:val="auto"/>
              </w:rPr>
            </w:pPr>
            <w:r>
              <w:rPr>
                <w:rFonts w:ascii="Times New Roman" w:cs="Times New Roman" w:eastAsia="Times New Roman" w:hAnsi="Times New Roman"/>
                <w:sz w:val="16"/>
                <w:szCs w:val="16"/>
                <w:color w:val="auto"/>
              </w:rPr>
              <w:t>The Notes will be general unsecured, subordinated obligations of Renasant Corporation and will rank junior to all of our existing and</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future senior indebtedness, including all of our general creditors. In addition, the Notes will be effectively subordinated to all of our secured</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indebtedness to the extent of the value of the collateral securing such indebtedness. The Notes will be structurally subordinated to all of the</w:t>
            </w:r>
          </w:p>
        </w:tc>
      </w:tr>
      <w:tr>
        <w:trPr>
          <w:trHeight w:val="203"/>
        </w:trPr>
        <w:tc>
          <w:tcPr>
            <w:tcW w:w="860" w:type="dxa"/>
            <w:vAlign w:val="bottom"/>
          </w:tcPr>
          <w:p>
            <w:pPr>
              <w:spacing w:after="0"/>
              <w:rPr>
                <w:sz w:val="17"/>
                <w:szCs w:val="17"/>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existing and future liabilities and obligations of our subsidiaries, including the deposit liabilities and claims of other creditors of our bank</w:t>
            </w:r>
          </w:p>
        </w:tc>
      </w:tr>
      <w:tr>
        <w:trPr>
          <w:trHeight w:val="203"/>
        </w:trPr>
        <w:tc>
          <w:tcPr>
            <w:tcW w:w="860" w:type="dxa"/>
            <w:vAlign w:val="bottom"/>
          </w:tcPr>
          <w:p>
            <w:pPr>
              <w:spacing w:after="0"/>
              <w:rPr>
                <w:sz w:val="17"/>
                <w:szCs w:val="17"/>
                <w:color w:val="auto"/>
              </w:rPr>
            </w:pPr>
          </w:p>
        </w:tc>
        <w:tc>
          <w:tcPr>
            <w:tcW w:w="876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subsidiary, Renasant Bank. The Notes will be obligations of Renasant Corporation only and will not be obligations of, and will not be</w:t>
            </w:r>
          </w:p>
        </w:tc>
        <w:tc>
          <w:tcPr>
            <w:tcW w:w="480" w:type="dxa"/>
            <w:vAlign w:val="bottom"/>
          </w:tcPr>
          <w:p>
            <w:pPr>
              <w:spacing w:after="0"/>
              <w:rPr>
                <w:sz w:val="17"/>
                <w:szCs w:val="17"/>
                <w:color w:val="auto"/>
              </w:rPr>
            </w:pPr>
          </w:p>
        </w:tc>
      </w:tr>
      <w:tr>
        <w:trPr>
          <w:trHeight w:val="210"/>
        </w:trPr>
        <w:tc>
          <w:tcPr>
            <w:tcW w:w="860" w:type="dxa"/>
            <w:vAlign w:val="bottom"/>
          </w:tcPr>
          <w:p>
            <w:pPr>
              <w:spacing w:after="0"/>
              <w:rPr>
                <w:sz w:val="18"/>
                <w:szCs w:val="18"/>
                <w:color w:val="auto"/>
              </w:rPr>
            </w:pPr>
          </w:p>
        </w:tc>
        <w:tc>
          <w:tcPr>
            <w:tcW w:w="824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guaranteed by, any of our subsidiaries, including our bank subsidiary, Renasant Bank. There is no sinking fund for the Notes.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0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40" w:type="dxa"/>
            <w:vAlign w:val="bottom"/>
            <w:gridSpan w:val="28"/>
          </w:tcPr>
          <w:p>
            <w:pPr>
              <w:ind w:left="80"/>
              <w:spacing w:after="0"/>
              <w:rPr>
                <w:sz w:val="20"/>
                <w:szCs w:val="20"/>
                <w:color w:val="auto"/>
              </w:rPr>
            </w:pPr>
            <w:r>
              <w:rPr>
                <w:rFonts w:ascii="Times New Roman" w:cs="Times New Roman" w:eastAsia="Times New Roman" w:hAnsi="Times New Roman"/>
                <w:sz w:val="16"/>
                <w:szCs w:val="16"/>
                <w:color w:val="auto"/>
              </w:rPr>
              <w:t>Currently, there is no public trading market for the Notes. We do not intend to list the Notes on any securities exchange or to have the</w:t>
            </w:r>
          </w:p>
        </w:tc>
      </w:tr>
      <w:tr>
        <w:trPr>
          <w:trHeight w:val="210"/>
        </w:trPr>
        <w:tc>
          <w:tcPr>
            <w:tcW w:w="860" w:type="dxa"/>
            <w:vAlign w:val="bottom"/>
          </w:tcPr>
          <w:p>
            <w:pPr>
              <w:spacing w:after="0"/>
              <w:rPr>
                <w:sz w:val="18"/>
                <w:szCs w:val="18"/>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Notes quoted on a quotation system.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6"/>
        </w:trPr>
        <w:tc>
          <w:tcPr>
            <w:tcW w:w="1160" w:type="dxa"/>
            <w:vAlign w:val="bottom"/>
            <w:gridSpan w:val="2"/>
            <w:textDirection w:val="btLr"/>
          </w:tcPr>
          <w:p>
            <w:pPr>
              <w:ind w:left="820"/>
              <w:spacing w:after="0"/>
              <w:rPr>
                <w:sz w:val="20"/>
                <w:szCs w:val="20"/>
                <w:color w:val="auto"/>
              </w:rPr>
            </w:pPr>
            <w:r>
              <w:rPr>
                <w:rFonts w:ascii="Arial" w:cs="Arial" w:eastAsia="Arial" w:hAnsi="Arial"/>
                <w:sz w:val="1"/>
                <w:szCs w:val="1"/>
                <w:b w:val="1"/>
                <w:bCs w:val="1"/>
                <w:color w:val="FF4338"/>
                <w:w w:val="39"/>
              </w:rPr>
              <w:t>TheinformationinthispreliminaryprospectushasbecomeeffectiveundertheSecuritiesActarenotanoffertosellthesesecuritiesandarepermitted.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Public offering price</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500" w:type="dxa"/>
            <w:vAlign w:val="bottom"/>
            <w:tcBorders>
              <w:top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6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6"/>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5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48"/>
        </w:trPr>
        <w:tc>
          <w:tcPr>
            <w:tcW w:w="860" w:type="dxa"/>
            <w:vAlign w:val="bottom"/>
          </w:tcPr>
          <w:p>
            <w:pPr>
              <w:spacing w:after="0"/>
              <w:rPr>
                <w:sz w:val="12"/>
                <w:szCs w:val="12"/>
                <w:color w:val="auto"/>
              </w:rPr>
            </w:pPr>
          </w:p>
        </w:tc>
        <w:tc>
          <w:tcPr>
            <w:tcW w:w="1020" w:type="dxa"/>
            <w:vAlign w:val="bottom"/>
            <w:tcBorders>
              <w:bottom w:val="single" w:sz="8" w:color="auto"/>
            </w:tcBorders>
            <w:gridSpan w:val="4"/>
          </w:tcPr>
          <w:p>
            <w:pPr>
              <w:spacing w:after="0"/>
              <w:rPr>
                <w:sz w:val="12"/>
                <w:szCs w:val="12"/>
                <w:color w:val="auto"/>
              </w:rPr>
            </w:pPr>
          </w:p>
        </w:tc>
        <w:tc>
          <w:tcPr>
            <w:tcW w:w="3360" w:type="dxa"/>
            <w:vAlign w:val="bottom"/>
            <w:gridSpan w:val="7"/>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09"/>
        </w:trPr>
        <w:tc>
          <w:tcPr>
            <w:tcW w:w="860" w:type="dxa"/>
            <w:vAlign w:val="bottom"/>
          </w:tcPr>
          <w:p>
            <w:pPr>
              <w:spacing w:after="0"/>
              <w:rPr>
                <w:sz w:val="18"/>
                <w:szCs w:val="18"/>
                <w:color w:val="auto"/>
              </w:rPr>
            </w:pPr>
          </w:p>
        </w:tc>
        <w:tc>
          <w:tcPr>
            <w:tcW w:w="43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(1)  Plus accrued interest, if any, from the original issue date.</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(2)  See “Underwriting” for details regarding compensation to be received by the underwriters in connection with this offering.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0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60" w:type="dxa"/>
            <w:vAlign w:val="bottom"/>
            <w:gridSpan w:val="27"/>
          </w:tcPr>
          <w:p>
            <w:pPr>
              <w:ind w:left="80"/>
              <w:spacing w:after="0"/>
              <w:rPr>
                <w:sz w:val="20"/>
                <w:szCs w:val="20"/>
                <w:color w:val="auto"/>
              </w:rPr>
            </w:pPr>
            <w:r>
              <w:rPr>
                <w:rFonts w:ascii="Times New Roman" w:cs="Times New Roman" w:eastAsia="Times New Roman" w:hAnsi="Times New Roman"/>
                <w:sz w:val="16"/>
                <w:szCs w:val="16"/>
                <w:color w:val="auto"/>
              </w:rPr>
              <w:t>The underwriters expect to deliver the Notes to purchasers in book-entry only form through the facilities of The Depository Trust</w:t>
            </w:r>
          </w:p>
        </w:tc>
        <w:tc>
          <w:tcPr>
            <w:tcW w:w="48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16"/>
                <w:szCs w:val="16"/>
                <w:color w:val="auto"/>
                <w:w w:val="99"/>
              </w:rPr>
              <w:t>Company, against payment therefor in immediately available funds, on or about 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0" w:type="dxa"/>
            <w:vAlign w:val="bottom"/>
          </w:tcPr>
          <w:p>
            <w:pPr>
              <w:spacing w:after="0"/>
              <w:rPr>
                <w:sz w:val="18"/>
                <w:szCs w:val="18"/>
                <w:color w:val="auto"/>
              </w:rPr>
            </w:pPr>
          </w:p>
        </w:tc>
        <w:tc>
          <w:tcPr>
            <w:tcW w:w="2120" w:type="dxa"/>
            <w:vAlign w:val="bottom"/>
            <w:gridSpan w:val="6"/>
          </w:tcPr>
          <w:p>
            <w:pPr>
              <w:jc w:val="right"/>
              <w:ind w:right="48"/>
              <w:spacing w:after="0"/>
              <w:rPr>
                <w:sz w:val="20"/>
                <w:szCs w:val="20"/>
                <w:color w:val="auto"/>
              </w:rPr>
            </w:pPr>
            <w:r>
              <w:rPr>
                <w:rFonts w:ascii="Times New Roman" w:cs="Times New Roman" w:eastAsia="Times New Roman" w:hAnsi="Times New Roman"/>
                <w:sz w:val="16"/>
                <w:szCs w:val="16"/>
                <w:color w:val="auto"/>
                <w:w w:val="98"/>
              </w:rPr>
              <w:t>   , 2026. See “Underwriting.”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158115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0" w:lineRule="exact"/>
        <w:rPr>
          <w:sz w:val="24"/>
          <w:szCs w:val="24"/>
          <w:color w:val="auto"/>
        </w:rPr>
      </w:pPr>
    </w:p>
    <w:p>
      <w:pPr>
        <w:ind w:left="980" w:right="1100" w:firstLine="464"/>
        <w:spacing w:after="0" w:line="248" w:lineRule="auto"/>
        <w:rPr>
          <w:sz w:val="20"/>
          <w:szCs w:val="20"/>
          <w:color w:val="auto"/>
        </w:rPr>
      </w:pPr>
      <w:r>
        <w:rPr>
          <w:rFonts w:ascii="Times New Roman" w:cs="Times New Roman" w:eastAsia="Times New Roman" w:hAnsi="Times New Roman"/>
          <w:sz w:val="19"/>
          <w:szCs w:val="19"/>
          <w:b w:val="1"/>
          <w:bCs w:val="1"/>
          <w:color w:val="auto"/>
        </w:rPr>
        <w:t>Investing in the Notes involves risks, including that the interest rate on the Notes during the floating rate period may be determined based on a rate other than Three-Month Term SOFR. You should refer to “</w:t>
      </w:r>
      <w:r>
        <w:rPr>
          <w:rFonts w:ascii="Times New Roman" w:cs="Times New Roman" w:eastAsia="Times New Roman" w:hAnsi="Times New Roman"/>
          <w:sz w:val="19"/>
          <w:szCs w:val="19"/>
          <w:b w:val="1"/>
          <w:bCs w:val="1"/>
          <w:u w:val="single" w:color="auto"/>
          <w:color w:val="0000EE"/>
        </w:rPr>
        <w:t>Risk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0000EE"/>
        </w:rPr>
        <w:t>Factors</w:t>
      </w:r>
      <w:r>
        <w:rPr>
          <w:rFonts w:ascii="Times New Roman" w:cs="Times New Roman" w:eastAsia="Times New Roman" w:hAnsi="Times New Roman"/>
          <w:sz w:val="19"/>
          <w:szCs w:val="19"/>
          <w:b w:val="1"/>
          <w:bCs w:val="1"/>
          <w:color w:val="000000"/>
        </w:rPr>
        <w:t>” beginning on page S-9 of this</w:t>
      </w:r>
      <w:r>
        <w:rPr>
          <w:rFonts w:ascii="Times New Roman" w:cs="Times New Roman" w:eastAsia="Times New Roman" w:hAnsi="Times New Roman"/>
          <w:sz w:val="19"/>
          <w:szCs w:val="19"/>
          <w:b w:val="1"/>
          <w:bCs w:val="1"/>
          <w:color w:val="0000EE"/>
        </w:rPr>
        <w:t xml:space="preserve"> </w:t>
      </w:r>
      <w:r>
        <w:rPr>
          <w:rFonts w:ascii="Times New Roman" w:cs="Times New Roman" w:eastAsia="Times New Roman" w:hAnsi="Times New Roman"/>
          <w:sz w:val="19"/>
          <w:szCs w:val="19"/>
          <w:b w:val="1"/>
          <w:bCs w:val="1"/>
          <w:u w:val="single" w:color="auto"/>
          <w:color w:val="0000EE"/>
        </w:rPr>
        <w:t>prospectus supplement</w:t>
      </w:r>
      <w:r>
        <w:rPr>
          <w:rFonts w:ascii="Times New Roman" w:cs="Times New Roman" w:eastAsia="Times New Roman" w:hAnsi="Times New Roman"/>
          <w:sz w:val="19"/>
          <w:szCs w:val="19"/>
          <w:b w:val="1"/>
          <w:bCs w:val="1"/>
          <w:color w:val="000000"/>
        </w:rPr>
        <w:t>, on page 2 of the accompanying prospectus and on</w:t>
      </w:r>
      <w:r>
        <w:rPr>
          <w:rFonts w:ascii="Times New Roman" w:cs="Times New Roman" w:eastAsia="Times New Roman" w:hAnsi="Times New Roman"/>
          <w:sz w:val="19"/>
          <w:szCs w:val="19"/>
          <w:b w:val="1"/>
          <w:bCs w:val="1"/>
          <w:color w:val="0000EE"/>
        </w:rPr>
        <w:t xml:space="preserve"> </w:t>
      </w:r>
      <w:r>
        <w:rPr>
          <w:rFonts w:ascii="Times New Roman" w:cs="Times New Roman" w:eastAsia="Times New Roman" w:hAnsi="Times New Roman"/>
          <w:sz w:val="19"/>
          <w:szCs w:val="19"/>
          <w:b w:val="1"/>
          <w:bCs w:val="1"/>
          <w:color w:val="000000"/>
        </w:rPr>
        <w:t>page 15 of our Annual Report on Form 10-K for the year ended December 31, 2025.</w:t>
      </w:r>
    </w:p>
    <w:p>
      <w:pPr>
        <w:spacing w:after="0" w:line="84" w:lineRule="exact"/>
        <w:rPr>
          <w:sz w:val="24"/>
          <w:szCs w:val="24"/>
          <w:color w:val="auto"/>
        </w:rPr>
      </w:pPr>
    </w:p>
    <w:p>
      <w:pPr>
        <w:ind w:left="980" w:right="880" w:firstLine="371"/>
        <w:spacing w:after="0" w:line="273" w:lineRule="auto"/>
        <w:rPr>
          <w:sz w:val="20"/>
          <w:szCs w:val="20"/>
          <w:color w:val="auto"/>
        </w:rPr>
      </w:pPr>
      <w:r>
        <w:rPr>
          <w:rFonts w:ascii="Times New Roman" w:cs="Times New Roman" w:eastAsia="Times New Roman" w:hAnsi="Times New Roman"/>
          <w:sz w:val="16"/>
          <w:szCs w:val="16"/>
          <w:b w:val="1"/>
          <w:bCs w:val="1"/>
          <w:color w:val="auto"/>
        </w:rPr>
        <w:t>The Notes are not savings accounts, deposits or other obligations of any bank and are not insured by the Federal Deposit Insurance Corporation (the “FDIC”), or any other government agency. Neither the Securities and Exchange Commission (the “SEC”), any state securities commission, the FDIC, the Federal Reserve nor any other regulatory body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133985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Lead Book Running Manager</w:t>
      </w:r>
    </w:p>
    <w:p>
      <w:pPr>
        <w:spacing w:after="0" w:line="1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Keefe, Bruyette &amp; Woods</w:t>
      </w:r>
    </w:p>
    <w:p>
      <w:pPr>
        <w:spacing w:after="0" w:line="129" w:lineRule="exact"/>
        <w:rPr>
          <w:sz w:val="24"/>
          <w:szCs w:val="24"/>
          <w:color w:val="auto"/>
        </w:rPr>
      </w:pPr>
    </w:p>
    <w:p>
      <w:pPr>
        <w:ind w:left="4620" w:right="4160" w:hanging="352"/>
        <w:spacing w:after="0" w:line="424" w:lineRule="auto"/>
        <w:tabs>
          <w:tab w:leader="none" w:pos="4427" w:val="left"/>
        </w:tabs>
        <w:numPr>
          <w:ilvl w:val="0"/>
          <w:numId w:val="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                  A Stifel Company </w:t>
      </w:r>
      <w:r>
        <w:rPr>
          <w:rFonts w:ascii="Times New Roman" w:cs="Times New Roman" w:eastAsia="Times New Roman" w:hAnsi="Times New Roman"/>
          <w:sz w:val="15"/>
          <w:szCs w:val="15"/>
          <w:i w:val="1"/>
          <w:iCs w:val="1"/>
          <w:color w:val="auto"/>
        </w:rPr>
        <w:t>Active Book Running Manager</w:t>
      </w: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Stephens Inc.</w:t>
      </w:r>
    </w:p>
    <w:p>
      <w:pPr>
        <w:sectPr>
          <w:pgSz w:w="11900" w:h="16838" w:orient="portrait"/>
          <w:cols w:equalWidth="0" w:num="1">
            <w:col w:w="11140"/>
          </w:cols>
          <w:pgMar w:left="320" w:top="225" w:right="439" w:bottom="0" w:gutter="0" w:footer="0" w:header="0"/>
        </w:sectPr>
      </w:pP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May    , 2026</w:t>
      </w:r>
    </w:p>
    <w:p>
      <w:pPr>
        <w:sectPr>
          <w:pgSz w:w="11900" w:h="16838" w:orient="portrait"/>
          <w:cols w:equalWidth="0" w:num="1">
            <w:col w:w="11140"/>
          </w:cols>
          <w:pgMar w:left="320" w:top="225" w:right="439" w:bottom="0" w:gutter="0" w:footer="0" w:header="0"/>
          <w:type w:val="continuous"/>
        </w:sectPr>
      </w:pPr>
    </w:p>
    <w:bookmarkStart w:id="1" w:name="page2"/>
    <w:bookmarkEnd w:id="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3"/>
          </w:tcPr>
          <w:p>
            <w:pPr>
              <w:spacing w:after="0"/>
              <w:rPr>
                <w:sz w:val="17"/>
                <w:szCs w:val="17"/>
                <w:color w:val="auto"/>
              </w:rPr>
            </w:pPr>
          </w:p>
        </w:tc>
        <w:tc>
          <w:tcPr>
            <w:tcW w:w="52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706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SUBORDINATED NOTES</w:t>
            </w:r>
          </w:p>
        </w:tc>
        <w:tc>
          <w:tcPr>
            <w:tcW w:w="464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39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INCOME TAX CONSIDERATIONS</w:t>
            </w:r>
          </w:p>
        </w:tc>
        <w:tc>
          <w:tcPr>
            <w:tcW w:w="46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r>
      <w:tr>
        <w:trPr>
          <w:trHeight w:val="196"/>
        </w:trPr>
        <w:tc>
          <w:tcPr>
            <w:tcW w:w="12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BENEFIT PLAN CONSIDERATIONS</w:t>
            </w:r>
          </w:p>
        </w:tc>
        <w:tc>
          <w:tcPr>
            <w:tcW w:w="49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S-42</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08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S-49</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S-49</w:t>
            </w: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32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RENASANT CORPORATION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80" w:type="dxa"/>
            <w:vAlign w:val="bottom"/>
            <w:tcBorders>
              <w:top w:val="single" w:sz="8" w:color="0000EE"/>
            </w:tcBorders>
            <w:gridSpan w:val="4"/>
          </w:tcPr>
          <w:p>
            <w:pPr>
              <w:spacing w:after="0"/>
              <w:rPr>
                <w:sz w:val="17"/>
                <w:szCs w:val="17"/>
                <w:color w:val="auto"/>
              </w:rPr>
            </w:pPr>
          </w:p>
        </w:tc>
        <w:tc>
          <w:tcPr>
            <w:tcW w:w="62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6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54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52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64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08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supplement and the accompanying prospectus to “Renasant,” “the Company,” “we,” “our,” “ours,” and “us” or similar references mean Renasant Corporation. References to “Renasant Bank” or the “Bank” mean Renasant Bank, which is our wholly-owned bank subsidiary.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Notes and certain other matters relating to us and our financial condition, and it adds to and updates information contained in the accompanying prospectus and the documents incorporated by reference into this prospectus supplement and the accompanying prospectus. The second part is the accompanying prospectus, dated February 11, 2025, which provides more general information about the securities that we and any selling stockholders may offer from time to time, some of which may not apply to this offering. The accompanying prospectus is part of a shelf registration statement on Form S-3 (File No. 333-284828) that we filed with the SEC. Under the shelf registration process, from time to time, we may offer and sell debt securities, including the Notes offered hereby, other debt securities, common stock, preferred stock, depositary shares, rights, warrants or units, or any combination thereof, in one or more offerings. You should read carefully both this prospectus supplement and the accompanying prospectus in their entirety, together with the additional information described under the heading “Where You Can Find More Information,” before investing in the Notes. Generally, when we refer to the “prospectus,” we are referring to both parts of this document combined.</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information set forth in this prospectus supplement differs in any way from the information set forth in the accompanying prospectus, you should rely on the information set forth in this prospectus supplement. If the information in this prospectus supplement conflicts with any statement in a document that we have incorporated by reference into this prospectus supplement or the accompanying prospectus, then you should consider only the statement in the more recent document. You should not assume that the information appearing in this prospectus supplement, the accompanying prospectus or the documents incorporated by reference into those documents is accurate as of any date other than the date of the applicable document. Our business, financial condition, results of operations and prospects may have changed since that date.</w:t>
      </w:r>
    </w:p>
    <w:p>
      <w:pPr>
        <w:spacing w:after="0" w:line="183"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or incorporated by reference into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may be used only for the purpose for which it has been prepared.</w:t>
      </w:r>
    </w:p>
    <w:p>
      <w:pPr>
        <w:spacing w:after="0" w:line="17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this prospectus supplement nor the accompanying prospectus constitutes an offer, or an invitation on our behalf or on behalf of any of the underwriters, to subscribe for or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contained or incorporated by reference into this prospectus supplement and the accompanying prospectus is not investment, legal or tax advice. You should consult your own legal counsel, accountants and other advisers for legal, tax, business, financial and related advice before investing in the Notes.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http://www.sec.gov. Information that we file with the SEC can also be found on our website, www.renasant.com, under the “SEC Filings” tab. All Internet addresses provided in this prospectus supplement or in the accompanying prospectus are for informational purposes only and are not intended to be hyperlinks. In addition, the information contained on, or accessible through, our website, or any other website described herein, is not a part of and is not (and should not be deemed) incorporated by reference into this prospectus supplement or the accompanying prospectus, and you should not consider it a part of this prospectus supplement or the accompanying prospectus.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into this prospectus supplement and the accompanying prospectus is deemed to be part of this prospectus supplement and the accompanying prospectus, except for any information superseded by information contained directly in this prospectus supplement, the accompanying prospectus, any subsequently filed document deemed incorporated by reference herein or therein or any free writing prospectus prepared by us or on our behalf. In all cases, you should rely on the later information incorporated by reference over different information included in this prospectus supplement or incorporated by reference herein.</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(other than information deemed “furnished” and not filed in accordance with SEC rules, including information furnished pursuant to Items 2.02 and 7.01 of any Current Report on Form 8-K and corresponding information furnished under Item 9.01 as an exhibit thereto):</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 2026;</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Part III of 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from our definitive proxy statement on </w:t>
      </w:r>
      <w:hyperlink r:id="rId1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March 18,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6">
        <w:r>
          <w:rPr>
            <w:rFonts w:ascii="Times New Roman" w:cs="Times New Roman" w:eastAsia="Times New Roman" w:hAnsi="Times New Roman"/>
            <w:sz w:val="18"/>
            <w:szCs w:val="18"/>
            <w:u w:val="single" w:color="auto"/>
            <w:color w:val="0000EE"/>
          </w:rPr>
          <w:t>March 16, 2026</w:t>
        </w:r>
      </w:hyperlink>
      <w:r>
        <w:rPr>
          <w:rFonts w:ascii="Times New Roman" w:cs="Times New Roman" w:eastAsia="Times New Roman" w:hAnsi="Times New Roman"/>
          <w:sz w:val="18"/>
          <w:szCs w:val="18"/>
          <w:color w:val="auto"/>
        </w:rPr>
        <w:t xml:space="preserve">, and </w:t>
      </w:r>
      <w:hyperlink r:id="rId17">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date of this prospectus supplement and before the termination of the offering also shall be deemed to be incorporated herein by reference, provided that any document or information contained in such filings that is deemed “furnished” to, or is otherwise not deemed “filed” with, the SEC in accordance with SEC rules, including, without limitation, our compensation committee report in our definitive proxy statement on Schedule 14A and our stock performance graph in our Annual Report on Form 10-K, and information furnished under Items 2.02 and 7.01 of any Current Report on Form 8-K, including related exhibits, shall not be deemed incorporated by reference herein.</w:t>
      </w:r>
    </w:p>
    <w:p>
      <w:pPr>
        <w:spacing w:after="0" w:line="187" w:lineRule="exact"/>
        <w:rPr>
          <w:rFonts w:ascii="Times New Roman" w:cs="Times New Roman" w:eastAsia="Times New Roman" w:hAnsi="Times New Roman"/>
          <w:sz w:val="18"/>
          <w:szCs w:val="18"/>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as described below, each person, including any beneficial owner, to whom a prospectus supplement is delivered, a copy of any or all of the information that has been incorporated by reference into the prospectus supplement but not delivered with the prospectus supplement (excluding any exhibits to those documents unless the exhibit is specifically incorporated by reference in those documents). You may obtain a copy of these filings at no cost by writing or telephoning us at the following address:</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209 Troy Street</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Tupelo, Mississippi 38804-4827</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(662) 680-1001</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or incorporate by reference statements regarding us that constitute “forward-looking statements” within the meaning of Section 27A of the Securities Act of 1933, as amended (the “Securities Act”), and Section 21E of the Exchange Act. Statements preceded by, followed by or that otherwise include the words “believes,” “expects,” “projects,” “anticipates,” “intends,” “estimates,” “plans,” “potential,” “possible,” “may increase,” “may fluctuate,” “will likely result,” or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based on the current beliefs and expectations of management. Our management believes these forward-looking statements are reasonable, but they are all inherently subject to significant business, economic and competitive risks and uncertainties, many of which are beyond our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Important factors currently known to management that could cause our actual results to differ materially from those in forward-looking statements include the following: (i) our ability to efficiently integrate acquisitions into our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we have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our Annual Report on Form 10-K for the fiscal year ended December 1, 2025 filed with the SEC on March 2, 2026; (vi) competitive pressures in the consumer finance, commercial finance, financial services, asset management, retail banking, factoring,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w:t>
      </w:r>
    </w:p>
    <w:p>
      <w:pPr>
        <w:spacing w:after="0" w:line="1" w:lineRule="exact"/>
        <w:rPr>
          <w:sz w:val="20"/>
          <w:szCs w:val="20"/>
          <w:color w:val="auto"/>
        </w:rPr>
      </w:pPr>
    </w:p>
    <w:p>
      <w:pPr>
        <w:ind w:left="420" w:hanging="304"/>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potential growth, including its entrance or expansion into new markets, and the need for sufficient capital to support that growth;</w:t>
      </w:r>
    </w:p>
    <w:p>
      <w:pPr>
        <w:spacing w:after="0" w:line="9" w:lineRule="exact"/>
        <w:rPr>
          <w:rFonts w:ascii="Times New Roman" w:cs="Times New Roman" w:eastAsia="Times New Roman" w:hAnsi="Times New Roman"/>
          <w:sz w:val="18"/>
          <w:szCs w:val="18"/>
          <w:color w:val="auto"/>
        </w:rPr>
      </w:pPr>
    </w:p>
    <w:p>
      <w:pPr>
        <w:ind w:left="120" w:right="40" w:hanging="4"/>
        <w:spacing w:after="0" w:line="265" w:lineRule="auto"/>
        <w:tabs>
          <w:tab w:leader="none" w:pos="4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quality or composition of the Company’s loan or investment portfolios, including adverse developments in borrower industries or in the repayment ability of individual borrowers or issuers of investment securities, or the impact of interest rates on the value of our investment securities portfolio; (xiii) an insufficient allowance for credit losses as a result of inaccurate assumptions; (xiv) changes in the sources and costs of the capital we use to make loans and otherwise fund our operations due to deposit outflows, changes in the mix of deposits and the cost and availability of borrowings;</w:t>
      </w:r>
    </w:p>
    <w:p>
      <w:pPr>
        <w:ind w:left="120" w:hanging="4"/>
        <w:spacing w:after="0" w:line="252" w:lineRule="auto"/>
        <w:tabs>
          <w:tab w:leader="none" w:pos="4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including the impact of inflation; (xvi) changes in demand for loan and deposit products and other financial services; (xvii) concentrations of deposit or credit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or near the Company’s geographic area;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61" w:lineRule="auto"/>
        <w:tabs>
          <w:tab w:leader="none" w:pos="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undertake no obligation, and specifically disclaim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0980"/>
          </w:cols>
          <w:pgMar w:left="320" w:top="455"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supplement. Because this is a summary, it may not contain all of the information that is important to you in making your investment decision. You should carefully read this entire prospectus supplement and the accompanying prospectus, as well as the information to which we refer you and the documents incorporated by reference herein and therein, before deciding whether to invest in the Notes. You should pay special attention to the information set forth under “Risk Factors” in this prospectus supplement and the accompanying prospectus and the information contained in “Item 1A. Risk Factors” of Part I of our Annual Report on Form 10-K for the fiscal year ended December 31, 2025, and subsequent filings we make with the SEC to determine whether an investment in the Notes is appropriate for you.</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Renasant Corporation, a Mississippi corporation incorporated in 1982, owns and operates Renasant Bank, a Mississippi banking corporation with operations throughout the Southeast, and Park Place Capital Corporation, a Tennessee corporation with operations across Renasant’s footprint. Renasant Bank owns and operates Continental Republic Capital, LLC (doing business as “Republic Business Credit”), a Louisiana limited liability company offering factoring and asset-based lending on a nationwide basis. Park Place Capital Corporation owns and operates Park Place Capital Securities Corporation, a Delaware corporation and registered broker-dealer. At December 31, 2025, Renasant had consolidated total assets of $26.8 billion and total shareholders’ equity of $3.9 billion.</w:t>
      </w:r>
    </w:p>
    <w:p>
      <w:pPr>
        <w:spacing w:after="0" w:line="18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Renasant is a bank holding company registered under the Bank Holding Company Act of 1956, as amended (the “BHC Act”), and as a result is subject to regulation by the Federal Reserve. Effective December 5, 2025, Renasant elected to become a financial holding company under the BHC Act. The Bank is a commercial bank chartered under the laws of the State of Mississippi and became a member of the Federal Reserve System, effective January 31, 2026. The Bank is subject to regulation by the Mississippi Department of Banking and Consumer Finance (“DBCF”) and by the Federal Reserve.</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Substantially all of Renasant’s business activities are conducted through, and substantially all of its assets and revenues are derived from, the operations of its community banks segment, which offers a complete range of banking and financial services to individuals and businesses of all sizes. In addition, Renasant operates a wealth management segment, through which it offers fiduciary, custodial and specialized products services to its customers.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w:t>
      </w:r>
    </w:p>
    <w:p>
      <w:pPr>
        <w:spacing w:after="0" w:line="135"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2026 was $88.2 million; diluted earnings per share was $0.94.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(fully tax equivalent) for the first quarter of 2026 was $228.4 million, down $3.9 million linked quarter.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2026, net interest margin was 3.87%, down 2 basis points linked quarter.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total deposits was 1.94% for the first quarter of 2026, down 3 basis points linked quarter.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decreased $0.9 million linked quarter.</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banking income increased $0.5 million linked quarter. The mortgage division generated $542.3 million in interest rate lock volume in the first quarter of 2026, up $52.8 million linked quarter. Gain on sale margin was 1.85% for the first quarter of 2026, down 14 basis points linked quarter.</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0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decreased $15.4 million linked quarter, which includes a $10.6 million decrease in merger and conversion related expenses. The Company continued to realize cost savings from the integration with The First Bancshares, Inc. (“The First”) in the first quarter of 2026.</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35"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decreased $71.8 million linked quarter, representing a 1.5% annualized net loan decrease.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increased $225.3 million linked quarter. The Company purchased $379.0 million in securities during the first quarter which was offset by a negative fair market value adjustment in the Company’s available-for-sale portfolio of $15.9 million and cash flows related to principal payments, calls and maturities of $141.5 million.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at March 31, 2026 increased $626.4 million linked quarter. Seasonal increases in public fund deposits contributed</w:t>
      </w:r>
    </w:p>
    <w:p>
      <w:pPr>
        <w:spacing w:after="0" w:line="27" w:lineRule="exact"/>
        <w:rPr>
          <w:rFonts w:ascii="Times New Roman" w:cs="Times New Roman" w:eastAsia="Times New Roman" w:hAnsi="Times New Roman"/>
          <w:sz w:val="18"/>
          <w:szCs w:val="18"/>
          <w:color w:val="auto"/>
        </w:rPr>
      </w:pPr>
    </w:p>
    <w:p>
      <w:pPr>
        <w:ind w:left="124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$380.4 million to the overall increase. Noninterest bearing deposits increased $139.5 million linked quarter and represented 23.5% of total deposits at March 31, 2026.</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Credit Quality</w:t>
      </w:r>
    </w:p>
    <w:p>
      <w:pPr>
        <w:spacing w:after="0" w:line="135" w:lineRule="exact"/>
        <w:rPr>
          <w:sz w:val="20"/>
          <w:szCs w:val="20"/>
          <w:color w:val="auto"/>
        </w:rPr>
      </w:pPr>
    </w:p>
    <w:p>
      <w:pPr>
        <w:ind w:left="1240" w:right="580" w:hanging="415"/>
        <w:spacing w:after="0" w:line="312"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recorded a provision for credit losses on loans and unfunded commitments of $4.2 million and $3.9 million, respectively, for the first quarter of 2026, representing a decrease of $1.2 million and $1.6 million, respectively, linked quarter.</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allowance for credit losses on loans to total loans was 1.56% at March 31, 2026, up 2 basis points linked quarter.</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ratio, or the allowance for credit losses on loans to nonperforming loans, was 147.71% at March 31, 2026, compared to 167.00% at December 31, 2025.</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charge-offs for the first quarter of 2026 were $2.3 million or 0.05% annualized, down $6.8 million linked quarter.</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to total loans increased to 1.06% at March 31, 2026 compared to 0.92% at December 31, 2025, and criticized loans (which include classified and Special Mention loans) to total loans decreased to 2.77% at March 31, 2026, compared to 2.94% at December 31, 2025.</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 and Stock Repurchase Program</w:t>
      </w:r>
    </w:p>
    <w:p>
      <w:pPr>
        <w:spacing w:after="0" w:line="135"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increased 1.4% linked quarter.</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the Company repurchased $75.0 million of common stock at a weighted average price of $39.53. In April, an additional $25.0 million was repurchased at a weighted average price of $38.36.</w:t>
      </w:r>
    </w:p>
    <w:p>
      <w:pPr>
        <w:spacing w:after="0" w:line="67"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28, 2026, the Company’s Board of Directors increased the amount authorized for repurchase under the Company’s stock repurchase program by $100.0 million. This plan, under which the Company is authorized to repurchase outstanding shares of its common stock either in open market purchases or privately negotiated transactions, will remain in effect until the earlier of October 2026 or the repurchase of the entire amount authorized under the plan (now, $250.0 million). With this increase, as of April 28, 2026, approximately $136.8 million in repurchase authorization remaining available under the program.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Increase in Quarterly Dividend</w:t>
      </w:r>
    </w:p>
    <w:p>
      <w:pPr>
        <w:spacing w:after="0" w:line="121" w:lineRule="exact"/>
        <w:rPr>
          <w:sz w:val="20"/>
          <w:szCs w:val="20"/>
          <w:color w:val="auto"/>
        </w:rPr>
      </w:pPr>
    </w:p>
    <w:p>
      <w:pPr>
        <w:ind w:left="300" w:right="100" w:firstLine="426"/>
        <w:spacing w:after="0" w:line="312" w:lineRule="auto"/>
        <w:rPr>
          <w:sz w:val="20"/>
          <w:szCs w:val="20"/>
          <w:color w:val="auto"/>
        </w:rPr>
      </w:pPr>
      <w:r>
        <w:rPr>
          <w:rFonts w:ascii="Times New Roman" w:cs="Times New Roman" w:eastAsia="Times New Roman" w:hAnsi="Times New Roman"/>
          <w:sz w:val="17"/>
          <w:szCs w:val="17"/>
          <w:color w:val="auto"/>
        </w:rPr>
        <w:t>Effective April 28, 2026, the Company’s Board of Directors approved a quarterly cash dividend of $0.24 per share to be paid June 30, 2026, to shareholders of record as of June 16, 2026. The per share dividend represents a $0.01 increase from the dividend paid in the previous quarter.</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92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foregoing information is preliminary and only a summary and is not intended to be a comprehensive statement of Renasant’s financial results. The preliminary financial data included in this prospectus supplement has been prepared by, and is the responsibility of, Renasant’s management. BDO USA, P.C. (formerly HORNE LLP) has not audited, reviewed, examined, compiled, nor applied agreed-upon procedures with respect to the preliminary financial data. Accordingly, BDO USA, P.C. does not express an opinion or any other form of assurance with respect thereto.</w:t>
      </w:r>
    </w:p>
    <w:p>
      <w:pPr>
        <w:spacing w:after="0" w:line="183"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Financial statements as of and for the three months ended March 31, 2026 are included in Renasant’s Quarterly Report on Form 10-Q to be filed with the SEC.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“RNST.” Our principal executive office is located at 209 Troy Street, Tupelo, Mississippi 38804-4827, and our telephone number is (662) 680-1001. We maintain a website at www.renasant.com. The foregoing Internet website is not incorporated by reference into this prospectus supplement or the accompanying prospectus, and you should not consider it a part of this prospectus supplement or the accompanying prospectus.</w:t>
      </w:r>
    </w:p>
    <w:p>
      <w:pPr>
        <w:spacing w:after="0" w:line="3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780"/>
          </w:cols>
          <w:pgMar w:left="320" w:top="455"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6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selected information about the Notes and is not complete. It does not contain all the information that may be important to you. For a more complete understanding of the Notes, you should read the section of this prospectus supplement entitled “Description of the Subordinated Notes.”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264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Renasant Corporation</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77"/>
              </w:rPr>
              <w:t> </w:t>
            </w:r>
          </w:p>
        </w:tc>
        <w:tc>
          <w:tcPr>
            <w:tcW w:w="64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   % Fixed-to-Floating Rate Subordinated Notes due 2036 (the “Notes”)</w:t>
            </w: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Issue Price:</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1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8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w w:val="92"/>
              </w:rPr>
              <w:t>The Notes will mature on </w:t>
            </w:r>
          </w:p>
        </w:tc>
        <w:tc>
          <w:tcPr>
            <w:tcW w:w="30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      , 2036 (the “Maturity Date”).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5880" w:type="dxa"/>
            <w:vAlign w:val="bottom"/>
            <w:gridSpan w:val="9"/>
          </w:tcPr>
          <w:p>
            <w:pPr>
              <w:ind w:left="960"/>
              <w:spacing w:after="0"/>
              <w:rPr>
                <w:sz w:val="20"/>
                <w:szCs w:val="20"/>
                <w:color w:val="auto"/>
              </w:rPr>
            </w:pPr>
            <w:r>
              <w:rPr>
                <w:rFonts w:ascii="Times New Roman" w:cs="Times New Roman" w:eastAsia="Times New Roman" w:hAnsi="Times New Roman"/>
                <w:sz w:val="18"/>
                <w:szCs w:val="18"/>
                <w:color w:val="auto"/>
                <w:w w:val="98"/>
              </w:rPr>
              <w:t>From and including the date of original issuance to, but excluding, 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center"/>
              <w:ind w:right="21"/>
              <w:spacing w:after="0"/>
              <w:rPr>
                <w:sz w:val="20"/>
                <w:szCs w:val="20"/>
                <w:color w:val="auto"/>
              </w:rPr>
            </w:pPr>
            <w:r>
              <w:rPr>
                <w:rFonts w:ascii="Times New Roman" w:cs="Times New Roman" w:eastAsia="Times New Roman" w:hAnsi="Times New Roman"/>
                <w:sz w:val="4"/>
                <w:szCs w:val="4"/>
                <w:color w:val="auto"/>
                <w:w w:val="98"/>
              </w:rPr>
              <w:t> </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2031 or the date</w:t>
            </w:r>
          </w:p>
        </w:tc>
      </w:tr>
      <w:tr>
        <w:trPr>
          <w:trHeight w:val="216"/>
        </w:trPr>
        <w:tc>
          <w:tcPr>
            <w:tcW w:w="3080" w:type="dxa"/>
            <w:vAlign w:val="bottom"/>
          </w:tcPr>
          <w:p>
            <w:pPr>
              <w:spacing w:after="0"/>
              <w:rPr>
                <w:sz w:val="18"/>
                <w:szCs w:val="18"/>
                <w:color w:val="auto"/>
              </w:rPr>
            </w:pPr>
          </w:p>
        </w:tc>
        <w:tc>
          <w:tcPr>
            <w:tcW w:w="7540" w:type="dxa"/>
            <w:vAlign w:val="bottom"/>
            <w:gridSpan w:val="12"/>
          </w:tcPr>
          <w:p>
            <w:pPr>
              <w:ind w:left="960"/>
              <w:spacing w:after="0"/>
              <w:rPr>
                <w:sz w:val="20"/>
                <w:szCs w:val="20"/>
                <w:color w:val="auto"/>
              </w:rPr>
            </w:pPr>
            <w:r>
              <w:rPr>
                <w:rFonts w:ascii="Times New Roman" w:cs="Times New Roman" w:eastAsia="Times New Roman" w:hAnsi="Times New Roman"/>
                <w:sz w:val="18"/>
                <w:szCs w:val="18"/>
                <w:color w:val="auto"/>
                <w:w w:val="99"/>
              </w:rPr>
              <w:t>of earlier redemption (the “fixed rate period”), the Notes will bear interest at a rate of    %</w:t>
            </w:r>
          </w:p>
        </w:tc>
      </w:tr>
      <w:tr>
        <w:trPr>
          <w:trHeight w:val="216"/>
        </w:trPr>
        <w:tc>
          <w:tcPr>
            <w:tcW w:w="3080" w:type="dxa"/>
            <w:vAlign w:val="bottom"/>
          </w:tcPr>
          <w:p>
            <w:pPr>
              <w:spacing w:after="0"/>
              <w:rPr>
                <w:sz w:val="18"/>
                <w:szCs w:val="18"/>
                <w:color w:val="auto"/>
              </w:rPr>
            </w:pPr>
          </w:p>
        </w:tc>
        <w:tc>
          <w:tcPr>
            <w:tcW w:w="4880" w:type="dxa"/>
            <w:vAlign w:val="bottom"/>
            <w:gridSpan w:val="6"/>
          </w:tcPr>
          <w:p>
            <w:pPr>
              <w:ind w:left="960"/>
              <w:spacing w:after="0"/>
              <w:rPr>
                <w:sz w:val="20"/>
                <w:szCs w:val="20"/>
                <w:color w:val="auto"/>
              </w:rPr>
            </w:pPr>
            <w:r>
              <w:rPr>
                <w:rFonts w:ascii="Times New Roman" w:cs="Times New Roman" w:eastAsia="Times New Roman" w:hAnsi="Times New Roman"/>
                <w:sz w:val="18"/>
                <w:szCs w:val="18"/>
                <w:color w:val="auto"/>
              </w:rPr>
              <w:t xml:space="preserve">per annum, payable semi-annually in arrears on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0"/>
              </w:rPr>
              <w:t>and  </w:t>
            </w:r>
          </w:p>
        </w:tc>
        <w:tc>
          <w:tcPr>
            <w:tcW w:w="2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of each year (each, a</w:t>
            </w:r>
          </w:p>
        </w:tc>
      </w:tr>
      <w:tr>
        <w:trPr>
          <w:trHeight w:val="216"/>
        </w:trPr>
        <w:tc>
          <w:tcPr>
            <w:tcW w:w="3080" w:type="dxa"/>
            <w:vAlign w:val="bottom"/>
          </w:tcPr>
          <w:p>
            <w:pPr>
              <w:spacing w:after="0"/>
              <w:rPr>
                <w:sz w:val="18"/>
                <w:szCs w:val="18"/>
                <w:color w:val="auto"/>
              </w:rPr>
            </w:pPr>
          </w:p>
        </w:tc>
        <w:tc>
          <w:tcPr>
            <w:tcW w:w="4880" w:type="dxa"/>
            <w:vAlign w:val="bottom"/>
            <w:gridSpan w:val="6"/>
          </w:tcPr>
          <w:p>
            <w:pPr>
              <w:ind w:left="960"/>
              <w:spacing w:after="0"/>
              <w:rPr>
                <w:sz w:val="20"/>
                <w:szCs w:val="20"/>
                <w:color w:val="auto"/>
              </w:rPr>
            </w:pPr>
            <w:r>
              <w:rPr>
                <w:rFonts w:ascii="Times New Roman" w:cs="Times New Roman" w:eastAsia="Times New Roman" w:hAnsi="Times New Roman"/>
                <w:sz w:val="18"/>
                <w:szCs w:val="18"/>
                <w:color w:val="auto"/>
                <w:w w:val="98"/>
              </w:rPr>
              <w:t>“fixed rate interest payment date”), commencing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4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color w:val="auto"/>
                <w:w w:val="95"/>
              </w:rPr>
              <w:t>   , 2026. The last fixed rate</w:t>
            </w:r>
          </w:p>
        </w:tc>
      </w:tr>
      <w:tr>
        <w:trPr>
          <w:trHeight w:val="234"/>
        </w:trPr>
        <w:tc>
          <w:tcPr>
            <w:tcW w:w="3080" w:type="dxa"/>
            <w:vAlign w:val="bottom"/>
          </w:tcPr>
          <w:p>
            <w:pPr>
              <w:spacing w:after="0"/>
              <w:rPr>
                <w:sz w:val="20"/>
                <w:szCs w:val="20"/>
                <w:color w:val="auto"/>
              </w:rPr>
            </w:pPr>
          </w:p>
        </w:tc>
        <w:tc>
          <w:tcPr>
            <w:tcW w:w="4880" w:type="dxa"/>
            <w:vAlign w:val="bottom"/>
            <w:gridSpan w:val="6"/>
          </w:tcPr>
          <w:p>
            <w:pPr>
              <w:ind w:left="960"/>
              <w:spacing w:after="0"/>
              <w:rPr>
                <w:sz w:val="20"/>
                <w:szCs w:val="20"/>
                <w:color w:val="auto"/>
              </w:rPr>
            </w:pPr>
            <w:r>
              <w:rPr>
                <w:rFonts w:ascii="Times New Roman" w:cs="Times New Roman" w:eastAsia="Times New Roman" w:hAnsi="Times New Roman"/>
                <w:sz w:val="18"/>
                <w:szCs w:val="18"/>
                <w:color w:val="auto"/>
                <w:w w:val="97"/>
              </w:rPr>
              <w:t>interest payment date for the fixed rate period will be 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1"/>
        </w:trPr>
        <w:tc>
          <w:tcPr>
            <w:tcW w:w="3080" w:type="dxa"/>
            <w:vAlign w:val="bottom"/>
          </w:tcPr>
          <w:p>
            <w:pPr>
              <w:spacing w:after="0"/>
              <w:rPr>
                <w:sz w:val="24"/>
                <w:szCs w:val="24"/>
                <w:color w:val="auto"/>
              </w:rPr>
            </w:pP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w w:val="92"/>
              </w:rPr>
              <w:t>From and including 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47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2031 to, but excluding, the Maturity Date or the date of earlier</w:t>
            </w:r>
          </w:p>
        </w:tc>
      </w:tr>
      <w:tr>
        <w:trPr>
          <w:trHeight w:val="216"/>
        </w:trPr>
        <w:tc>
          <w:tcPr>
            <w:tcW w:w="3080" w:type="dxa"/>
            <w:vAlign w:val="bottom"/>
          </w:tcPr>
          <w:p>
            <w:pPr>
              <w:spacing w:after="0"/>
              <w:rPr>
                <w:sz w:val="18"/>
                <w:szCs w:val="18"/>
                <w:color w:val="auto"/>
              </w:rPr>
            </w:pPr>
          </w:p>
        </w:tc>
        <w:tc>
          <w:tcPr>
            <w:tcW w:w="7540" w:type="dxa"/>
            <w:vAlign w:val="bottom"/>
            <w:gridSpan w:val="12"/>
          </w:tcPr>
          <w:p>
            <w:pPr>
              <w:ind w:left="960"/>
              <w:spacing w:after="0"/>
              <w:rPr>
                <w:sz w:val="20"/>
                <w:szCs w:val="20"/>
                <w:color w:val="auto"/>
              </w:rPr>
            </w:pPr>
            <w:r>
              <w:rPr>
                <w:rFonts w:ascii="Times New Roman" w:cs="Times New Roman" w:eastAsia="Times New Roman" w:hAnsi="Times New Roman"/>
                <w:sz w:val="18"/>
                <w:szCs w:val="18"/>
                <w:color w:val="auto"/>
              </w:rPr>
              <w:t>redemption (the “floating rate period”), the Notes will bear interest at a floating rate per</w:t>
            </w:r>
          </w:p>
        </w:tc>
      </w:tr>
      <w:tr>
        <w:trPr>
          <w:trHeight w:val="216"/>
        </w:trPr>
        <w:tc>
          <w:tcPr>
            <w:tcW w:w="3080" w:type="dxa"/>
            <w:vAlign w:val="bottom"/>
          </w:tcPr>
          <w:p>
            <w:pPr>
              <w:spacing w:after="0"/>
              <w:rPr>
                <w:sz w:val="18"/>
                <w:szCs w:val="18"/>
                <w:color w:val="auto"/>
              </w:rPr>
            </w:pPr>
          </w:p>
        </w:tc>
        <w:tc>
          <w:tcPr>
            <w:tcW w:w="7540" w:type="dxa"/>
            <w:vAlign w:val="bottom"/>
            <w:gridSpan w:val="12"/>
          </w:tcPr>
          <w:p>
            <w:pPr>
              <w:ind w:left="960"/>
              <w:spacing w:after="0"/>
              <w:rPr>
                <w:sz w:val="20"/>
                <w:szCs w:val="20"/>
                <w:color w:val="auto"/>
              </w:rPr>
            </w:pPr>
            <w:r>
              <w:rPr>
                <w:rFonts w:ascii="Times New Roman" w:cs="Times New Roman" w:eastAsia="Times New Roman" w:hAnsi="Times New Roman"/>
                <w:sz w:val="18"/>
                <w:szCs w:val="18"/>
                <w:color w:val="auto"/>
              </w:rPr>
              <w:t>annum equal to the Benchmark rate (which is expected to be Three-Month Term SOFR)</w:t>
            </w:r>
          </w:p>
        </w:tc>
      </w:tr>
      <w:tr>
        <w:trPr>
          <w:trHeight w:val="216"/>
        </w:trPr>
        <w:tc>
          <w:tcPr>
            <w:tcW w:w="3080" w:type="dxa"/>
            <w:vAlign w:val="bottom"/>
          </w:tcPr>
          <w:p>
            <w:pPr>
              <w:spacing w:after="0"/>
              <w:rPr>
                <w:sz w:val="18"/>
                <w:szCs w:val="18"/>
                <w:color w:val="auto"/>
              </w:rPr>
            </w:pP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xml:space="preserve">plus a spread of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4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basis points. For each quarterly interest period during the</w:t>
            </w:r>
          </w:p>
        </w:tc>
      </w:tr>
      <w:tr>
        <w:trPr>
          <w:trHeight w:val="234"/>
        </w:trPr>
        <w:tc>
          <w:tcPr>
            <w:tcW w:w="3080" w:type="dxa"/>
            <w:vAlign w:val="bottom"/>
          </w:tcPr>
          <w:p>
            <w:pPr>
              <w:spacing w:after="0"/>
              <w:rPr>
                <w:sz w:val="20"/>
                <w:szCs w:val="20"/>
                <w:color w:val="auto"/>
              </w:rPr>
            </w:pPr>
          </w:p>
        </w:tc>
        <w:tc>
          <w:tcPr>
            <w:tcW w:w="5880" w:type="dxa"/>
            <w:vAlign w:val="bottom"/>
            <w:gridSpan w:val="9"/>
          </w:tcPr>
          <w:p>
            <w:pPr>
              <w:ind w:left="960"/>
              <w:spacing w:after="0"/>
              <w:rPr>
                <w:sz w:val="20"/>
                <w:szCs w:val="20"/>
                <w:color w:val="auto"/>
              </w:rPr>
            </w:pPr>
            <w:r>
              <w:rPr>
                <w:rFonts w:ascii="Times New Roman" w:cs="Times New Roman" w:eastAsia="Times New Roman" w:hAnsi="Times New Roman"/>
                <w:sz w:val="18"/>
                <w:szCs w:val="18"/>
                <w:color w:val="auto"/>
                <w:w w:val="97"/>
              </w:rPr>
              <w:t>floating rate period, interest will be payable quarterly in arrears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bl>
    <w:p>
      <w:pPr>
        <w:ind w:left="4340" w:right="100" w:hanging="5"/>
        <w:spacing w:after="0" w:line="253" w:lineRule="auto"/>
        <w:tabs>
          <w:tab w:leader="none" w:pos="4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of each year (each, a “floating rate interest payment date” and, together with the fixed rate interest payment dates, the “interest payment dates”), commencing on      , 2031. Notwithstanding the foregoing, if the Benchmark rate is less than zero, the Benchmark rate shall be deemed to be zero.</w:t>
      </w:r>
    </w:p>
    <w:p>
      <w:pPr>
        <w:spacing w:after="0" w:line="216" w:lineRule="exact"/>
        <w:rPr>
          <w:sz w:val="20"/>
          <w:szCs w:val="20"/>
          <w:color w:val="auto"/>
        </w:rPr>
      </w:pPr>
    </w:p>
    <w:p>
      <w:pPr>
        <w:ind w:left="4340" w:right="60"/>
        <w:spacing w:after="0" w:line="258" w:lineRule="auto"/>
        <w:rPr>
          <w:sz w:val="20"/>
          <w:szCs w:val="20"/>
          <w:color w:val="auto"/>
        </w:rPr>
      </w:pPr>
      <w:r>
        <w:rPr>
          <w:rFonts w:ascii="Times New Roman" w:cs="Times New Roman" w:eastAsia="Times New Roman" w:hAnsi="Times New Roman"/>
          <w:sz w:val="18"/>
          <w:szCs w:val="18"/>
          <w:color w:val="auto"/>
        </w:rPr>
        <w:t>For each interest period during the floating rate period, “Three-Month Term SOFR” means the rate for Term SOFR for a tenor of three months that is published by the Term SOFR Administrator at the Reference Time for any interest period, as determined by the calculation agent after giving effect to the Three-Month Term SOFR Conventions (each as defined under “Description of the Subordinated Notes—Interest”).</w:t>
      </w:r>
    </w:p>
    <w:p>
      <w:pPr>
        <w:spacing w:after="0" w:line="210" w:lineRule="exact"/>
        <w:rPr>
          <w:sz w:val="20"/>
          <w:szCs w:val="20"/>
          <w:color w:val="auto"/>
        </w:rPr>
      </w:pPr>
    </w:p>
    <w:p>
      <w:pPr>
        <w:ind w:left="4340" w:right="20"/>
        <w:spacing w:after="0" w:line="256" w:lineRule="auto"/>
        <w:rPr>
          <w:sz w:val="20"/>
          <w:szCs w:val="20"/>
          <w:color w:val="auto"/>
        </w:rPr>
      </w:pPr>
      <w:r>
        <w:rPr>
          <w:rFonts w:ascii="Times New Roman" w:cs="Times New Roman" w:eastAsia="Times New Roman" w:hAnsi="Times New Roman"/>
          <w:sz w:val="18"/>
          <w:szCs w:val="18"/>
          <w:color w:val="auto"/>
        </w:rPr>
        <w:t>If the calculation agent determines on or prior to the relevant Reference Time that a Benchmark Transition Event and its related Benchmark Replacement Date (each as defined under “Description of the Subordinated Notes—Effect of Benchmark Transition Event”) have occurred with respect to Three-Month Term SOFR, then the provisions under “Description of the Subordinated Notes—Effect of Benchmark Transition Event,” which are referred to herein as the</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7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“benchmark transition provisions,” will thereafter apply to all subsequent determinations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interest rate on the Notes for each interest period during the floating rate period. In</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accordance with the benchmark transition provisions, after a Benchmark Transition Event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and its related Benchmark Replacement Date have occurred, the interest rate on the Notes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for each interest period during the floating rate period will subsequently be an annual rate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equal to the Benchmark Replacement (as defined under “Description of the Subordinated</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Notes—Effect of Benchmark Transition Event”) plus basis points.</w:t>
            </w:r>
          </w:p>
        </w:tc>
      </w:tr>
      <w:tr>
        <w:trPr>
          <w:trHeight w:val="454"/>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Record Dates:</w:t>
            </w: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15th day (whether or not a business day) of the month immediately preceding the</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applicable interest payment date.</w:t>
            </w:r>
          </w:p>
        </w:tc>
      </w:tr>
      <w:tr>
        <w:trPr>
          <w:trHeight w:val="441"/>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Guarantees:</w:t>
            </w: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Notes are not guaranteed by any of our subsidiaries, including the Bank, or otherwise.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As a result, the Notes will be structurally subordinated to the liabilities of our subsidiaries</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as discussed below under “Ranking.”</w:t>
            </w:r>
          </w:p>
        </w:tc>
      </w:tr>
      <w:tr>
        <w:trPr>
          <w:trHeight w:val="441"/>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Notes offered by this prospectus supplement will be issued by us under a subordinated</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indenture, dated as of August 22, 2016, between us and Wilmington Trust, National</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Association, as trustee, which we refer to as the trustee, as amended and supplemented by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fifth supplemental indenture, dated as of May    , 2026, between us and the trustee. We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refer to the subordinated indenture, as amended and supplemented by the fifth</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supplemental indenture, as the Subordinated Indenture.</w:t>
            </w:r>
          </w:p>
        </w:tc>
      </w:tr>
      <w:tr>
        <w:trPr>
          <w:trHeight w:val="459"/>
        </w:trPr>
        <w:tc>
          <w:tcPr>
            <w:tcW w:w="2760" w:type="dxa"/>
            <w:vAlign w:val="bottom"/>
            <w:tcBorders>
              <w:left w:val="single" w:sz="8" w:color="auto"/>
            </w:tcBorders>
          </w:tcPr>
          <w:p>
            <w:pPr>
              <w:spacing w:after="0"/>
              <w:rPr>
                <w:sz w:val="24"/>
                <w:szCs w:val="24"/>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Notes will be our general unsecured, subordinated obligations and:</w:t>
            </w:r>
          </w:p>
        </w:tc>
      </w:tr>
      <w:tr>
        <w:trPr>
          <w:trHeight w:val="319"/>
        </w:trPr>
        <w:tc>
          <w:tcPr>
            <w:tcW w:w="2760" w:type="dxa"/>
            <w:vAlign w:val="bottom"/>
            <w:tcBorders>
              <w:left w:val="single" w:sz="8" w:color="auto"/>
            </w:tcBorders>
          </w:tcPr>
          <w:p>
            <w:pPr>
              <w:spacing w:after="0"/>
              <w:rPr>
                <w:sz w:val="24"/>
                <w:szCs w:val="24"/>
                <w:color w:val="auto"/>
              </w:rPr>
            </w:pPr>
          </w:p>
        </w:tc>
        <w:tc>
          <w:tcPr>
            <w:tcW w:w="82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   will rank junior in right of payment and upon our liquidation to any of our existing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and all future Senior Indebtedness (as defined under “Description of the</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Subordinated Notes—Subordination”);</w:t>
            </w:r>
          </w:p>
        </w:tc>
      </w:tr>
      <w:tr>
        <w:trPr>
          <w:trHeight w:val="319"/>
        </w:trPr>
        <w:tc>
          <w:tcPr>
            <w:tcW w:w="2760" w:type="dxa"/>
            <w:vAlign w:val="bottom"/>
            <w:tcBorders>
              <w:left w:val="single" w:sz="8" w:color="auto"/>
            </w:tcBorders>
          </w:tcPr>
          <w:p>
            <w:pPr>
              <w:spacing w:after="0"/>
              <w:rPr>
                <w:sz w:val="24"/>
                <w:szCs w:val="24"/>
                <w:color w:val="auto"/>
              </w:rPr>
            </w:pPr>
          </w:p>
        </w:tc>
        <w:tc>
          <w:tcPr>
            <w:tcW w:w="82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   will rank junior in right of payment and upon our liquidation to any of our existing</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and all of our future general creditors;</w:t>
            </w:r>
          </w:p>
        </w:tc>
      </w:tr>
      <w:tr>
        <w:trPr>
          <w:trHeight w:val="319"/>
        </w:trPr>
        <w:tc>
          <w:tcPr>
            <w:tcW w:w="2760" w:type="dxa"/>
            <w:vAlign w:val="bottom"/>
            <w:tcBorders>
              <w:left w:val="single" w:sz="8" w:color="auto"/>
            </w:tcBorders>
          </w:tcPr>
          <w:p>
            <w:pPr>
              <w:spacing w:after="0"/>
              <w:rPr>
                <w:sz w:val="24"/>
                <w:szCs w:val="24"/>
                <w:color w:val="auto"/>
              </w:rPr>
            </w:pPr>
          </w:p>
        </w:tc>
        <w:tc>
          <w:tcPr>
            <w:tcW w:w="82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   will rank equal in right of payment and upon our liquidation with any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Company’s existing and all of its future indebtedness the terms of which provide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that such indebtedness ranks equally with the Notes, including, as of December 31,</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2025, the $40 million aggregate principal amount of our outstanding 5.50%</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Fixed-to-Floating Rate Subordinated Notes due September 1, 2031,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$200 million aggregate principal amount of our outstanding 3.00%</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Fixed-to-Floating Rate Subordinated Notes due December 1, 2031, the $37 million</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aggregate principal amount of our outstanding 6.40% Fixed-to-Floating Rate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Subordinated Notes due May 1, 2033, and the $100 million aggregate principal</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amount of our outstanding 4.50% Fixed-to-Floating Rate Subordinated Notes due</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September 15, 2035 (collectively, the “Outstanding Pari Passu Debt”);</w:t>
            </w:r>
          </w:p>
        </w:tc>
      </w:tr>
      <w:tr>
        <w:trPr>
          <w:trHeight w:val="172"/>
        </w:trPr>
        <w:tc>
          <w:tcPr>
            <w:tcW w:w="2760" w:type="dxa"/>
            <w:vAlign w:val="bottom"/>
            <w:tcBorders>
              <w:left w:val="single" w:sz="8" w:color="auto"/>
              <w:bottom w:val="single" w:sz="8" w:color="auto"/>
            </w:tcBorders>
          </w:tcPr>
          <w:p>
            <w:pPr>
              <w:spacing w:after="0"/>
              <w:rPr>
                <w:sz w:val="14"/>
                <w:szCs w:val="14"/>
                <w:color w:val="auto"/>
              </w:rPr>
            </w:pPr>
          </w:p>
        </w:tc>
        <w:tc>
          <w:tcPr>
            <w:tcW w:w="8260" w:type="dxa"/>
            <w:vAlign w:val="bottom"/>
            <w:tcBorders>
              <w:bottom w:val="single" w:sz="8" w:color="auto"/>
              <w:right w:val="single" w:sz="8" w:color="auto"/>
            </w:tcBorders>
          </w:tcPr>
          <w:p>
            <w:pPr>
              <w:spacing w:after="0"/>
              <w:rPr>
                <w:sz w:val="14"/>
                <w:szCs w:val="14"/>
                <w:color w:val="auto"/>
              </w:rPr>
            </w:pPr>
          </w:p>
        </w:tc>
      </w:tr>
      <w:tr>
        <w:trPr>
          <w:trHeight w:val="361"/>
        </w:trPr>
        <w:tc>
          <w:tcPr>
            <w:tcW w:w="2760" w:type="dxa"/>
            <w:vAlign w:val="bottom"/>
          </w:tcPr>
          <w:p>
            <w:pPr>
              <w:spacing w:after="0"/>
              <w:rPr>
                <w:sz w:val="24"/>
                <w:szCs w:val="24"/>
                <w:color w:val="auto"/>
              </w:rPr>
            </w:pPr>
          </w:p>
        </w:tc>
        <w:tc>
          <w:tcPr>
            <w:tcW w:w="82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hanging="289"/>
        <w:spacing w:after="0" w:line="251" w:lineRule="auto"/>
        <w:tabs>
          <w:tab w:leader="none" w:pos="4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senior in right of payment and upon our liquidation to any of our existing junior subordinated debentures and any of our future indebtedness the terms of which provide that such indebtedness ranks junior in right of payment to note indebtedness such as the Notes, including, as of December 31, 2025, the existing $20.6 million aggregate principal amount outstanding of our Floating Rate Junior Subordinated Debentures due 2033, the $6.2 million aggregate principal amount outstanding of our Floating Rate Junior Subordinated Debentures due 2033, the $32.0 million aggregate principal amount outstanding of our Floating Rate Junior Subordinated Debentures due 2035, the $12.4 million aggregate principal amount outstanding of our Floating Rate Junior Subordinated Debentures due 2035, the $10.3 million aggregate principal amount outstanding of our Floating Rate Junior Subordinated Debentures due 2035, the $30.9 million aggregate principal amount outstanding of our Floating Rate Junior Subordinated Debentures due 2036, the $10.3 million aggregate principal amount outstanding of our Floating Rate Junior Subordinated Debentures due 2036, the $4.1 million aggregate principal amount outstanding of our Floating Rate Junior Subordinated Debentures due 2037, the $6.2 million aggregate principal amount outstanding of our Floating Rate Junior Subordinated Debentures due 2037, the $5.2 million aggregate principal amount outstanding of our Floating Rate Junior Subordinated Debentures due 2037, the $5.2 million aggregate principal amount outstanding of our Floating Rate Junior Subordinated Debentures due 2038, and the $3.1 million aggregate principal amount outstanding of our Floating Rate Junior Subordinated Debentures due 2038 (collectively, the “Outstanding Floating Rate Junior Subordinated Debentures”); and</w:t>
      </w:r>
    </w:p>
    <w:p>
      <w:pPr>
        <w:spacing w:after="0" w:line="110" w:lineRule="exact"/>
        <w:rPr>
          <w:rFonts w:ascii="Times New Roman" w:cs="Times New Roman" w:eastAsia="Times New Roman" w:hAnsi="Times New Roman"/>
          <w:sz w:val="18"/>
          <w:szCs w:val="18"/>
          <w:color w:val="auto"/>
        </w:rPr>
      </w:pPr>
    </w:p>
    <w:p>
      <w:pPr>
        <w:ind w:left="4840" w:right="80" w:hanging="289"/>
        <w:spacing w:after="0" w:line="258" w:lineRule="auto"/>
        <w:tabs>
          <w:tab w:leader="none" w:pos="4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effectively subordinated to our future secured indebtedness to the extent of the value of the collateral securing such indebtedness, and structurally subordinated to the existing and future indebtedness of our subsidiaries, including, without limitation, depositors of the Bank, liabilities to general creditors and liabilities arising in the ordinary course of business or otherwise.</w:t>
      </w:r>
    </w:p>
    <w:p>
      <w:pPr>
        <w:spacing w:after="0" w:line="210" w:lineRule="exact"/>
        <w:rPr>
          <w:sz w:val="20"/>
          <w:szCs w:val="20"/>
          <w:color w:val="auto"/>
        </w:rPr>
      </w:pPr>
    </w:p>
    <w:p>
      <w:pPr>
        <w:ind w:left="4340" w:right="360"/>
        <w:spacing w:after="0" w:line="277" w:lineRule="auto"/>
        <w:rPr>
          <w:sz w:val="20"/>
          <w:szCs w:val="20"/>
          <w:color w:val="auto"/>
        </w:rPr>
      </w:pPr>
      <w:r>
        <w:rPr>
          <w:rFonts w:ascii="Times New Roman" w:cs="Times New Roman" w:eastAsia="Times New Roman" w:hAnsi="Times New Roman"/>
          <w:sz w:val="17"/>
          <w:szCs w:val="17"/>
          <w:color w:val="auto"/>
        </w:rPr>
        <w:t>As of December 31, 2025, on a consolidated basis, the Company had, in the aggregate, outstanding liabilities of $22.9 billion, which included $21.5 billion of deposits. In addition, as of December 31, 2025, the Company had no indebtedness that would rank senior to the Notes, $359.1 million of indebtedness that would rank pari passu with the Notes, and $140.6 million of indebtedness that would rank subordinate to the Notes.</w:t>
      </w:r>
    </w:p>
    <w:p>
      <w:pPr>
        <w:spacing w:after="0" w:line="195" w:lineRule="exact"/>
        <w:rPr>
          <w:sz w:val="20"/>
          <w:szCs w:val="20"/>
          <w:color w:val="auto"/>
        </w:rPr>
      </w:pPr>
    </w:p>
    <w:p>
      <w:pPr>
        <w:ind w:left="4340" w:right="40"/>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additional indebtedness we or our subsidiaries may incur.</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57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We may, at our option, beginning with the interest payment date of 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5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2031 and on</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any date thereafter, redeem the Notes, in whole or in part, from time to time, subject to</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obtaining the prior approval of the Federal Reserve (or, as and if applicable, the rules of</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any appropriate successor bank regulatory agency) to the extent such approval is then</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required under the rules of the Federal Reserve (or such successor bank regulatory agency),</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Notes being redeemed</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plus accrued and unpaid interest to, but excluding, the date of redemption. See</w:t>
            </w:r>
          </w:p>
        </w:tc>
      </w:tr>
      <w:tr>
        <w:trPr>
          <w:trHeight w:val="234"/>
        </w:trPr>
        <w:tc>
          <w:tcPr>
            <w:tcW w:w="3420" w:type="dxa"/>
            <w:vAlign w:val="bottom"/>
            <w:tcBorders>
              <w:left w:val="single" w:sz="8" w:color="auto"/>
            </w:tcBorders>
          </w:tcPr>
          <w:p>
            <w:pPr>
              <w:spacing w:after="0"/>
              <w:rPr>
                <w:sz w:val="20"/>
                <w:szCs w:val="20"/>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“Description of the Subordinated Notes—Redemption.”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441"/>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Special Redemption:</w:t>
            </w: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We may also redeem the Notes at any time prior to their maturity, including prior to</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         , 2031, in whole, but not in part, subject to obtaining the prior approval of the</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Federal Reserve (or, as and if applicable, the rules of any appropriate successor bank</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regulatory agency) to the extent such approval is then required under the rules of the</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Federal Reserve or such successor bank regulatory agency, upon the occurrence of a “Tax</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Event,” a “Tier 2 Capital Event” or our becoming required to register as an investment</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company pursuant to the Investment Company Act of 1940, as amended (the “1940 Act”),</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Notes being redeemed</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plus accrued and unpaid interest to, but excluding, the date of redemption. See</w:t>
            </w:r>
          </w:p>
        </w:tc>
      </w:tr>
      <w:tr>
        <w:trPr>
          <w:trHeight w:val="234"/>
        </w:trPr>
        <w:tc>
          <w:tcPr>
            <w:tcW w:w="3420" w:type="dxa"/>
            <w:vAlign w:val="bottom"/>
            <w:tcBorders>
              <w:left w:val="single" w:sz="8" w:color="auto"/>
            </w:tcBorders>
          </w:tcPr>
          <w:p>
            <w:pPr>
              <w:spacing w:after="0"/>
              <w:rPr>
                <w:sz w:val="20"/>
                <w:szCs w:val="20"/>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“Description of the Subordinated Notes—Redemption.”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459"/>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There is no sinking fund for the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r>
      <w:tr>
        <w:trPr>
          <w:trHeight w:val="454"/>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6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xml:space="preserve">The Notes will initially be limited to an aggregate principal amount of $ </w:t>
            </w:r>
          </w:p>
        </w:tc>
        <w:tc>
          <w:tcPr>
            <w:tcW w:w="1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 We may</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from time to time, without notice to or consent of the holders, increase the aggregate</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principal amount of the Notes outstanding by issuing additional notes in the future with the</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same terms as the Notes, except for any differences in the issue price and interest accrued</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prior to the date of issuance of the additional Notes, and such additional notes may be</w:t>
            </w:r>
          </w:p>
        </w:tc>
      </w:tr>
      <w:tr>
        <w:trPr>
          <w:trHeight w:val="234"/>
        </w:trPr>
        <w:tc>
          <w:tcPr>
            <w:tcW w:w="342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consolidated with the Notes issued in this offering and form a single series.</w:t>
            </w:r>
          </w:p>
        </w:tc>
      </w:tr>
      <w:tr>
        <w:trPr>
          <w:trHeight w:val="441"/>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We estimate that the net proceeds from this offering, after deducting underwriting</w:t>
            </w:r>
          </w:p>
        </w:tc>
      </w:tr>
      <w:tr>
        <w:trPr>
          <w:trHeight w:val="216"/>
        </w:trPr>
        <w:tc>
          <w:tcPr>
            <w:tcW w:w="3420" w:type="dxa"/>
            <w:vAlign w:val="bottom"/>
            <w:tcBorders>
              <w:left w:val="single" w:sz="8" w:color="auto"/>
            </w:tcBorders>
          </w:tcPr>
          <w:p>
            <w:pPr>
              <w:spacing w:after="0"/>
              <w:rPr>
                <w:sz w:val="18"/>
                <w:szCs w:val="18"/>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discounts and estimated offering expenses, will be approximately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The Company</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intends to use the net proceeds from this offering for general corporate purposes, including</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the potential redemption of the $40 million aggregate principal amount outstanding of our</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5.50% Fixed-to-Floating Rate Subordinated Notes due September 1, 2031. See “Use of</w:t>
            </w:r>
          </w:p>
        </w:tc>
      </w:tr>
      <w:tr>
        <w:trPr>
          <w:trHeight w:val="234"/>
        </w:trPr>
        <w:tc>
          <w:tcPr>
            <w:tcW w:w="3420" w:type="dxa"/>
            <w:vAlign w:val="bottom"/>
            <w:tcBorders>
              <w:left w:val="single" w:sz="8" w:color="auto"/>
            </w:tcBorders>
          </w:tcPr>
          <w:p>
            <w:pPr>
              <w:spacing w:after="0"/>
              <w:rPr>
                <w:sz w:val="20"/>
                <w:szCs w:val="20"/>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Proceeds.”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441"/>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The Notes offered hereby will be issued in book-entry form through the facilities of the</w:t>
            </w:r>
          </w:p>
        </w:tc>
      </w:tr>
      <w:tr>
        <w:trPr>
          <w:trHeight w:val="216"/>
        </w:trPr>
        <w:tc>
          <w:tcPr>
            <w:tcW w:w="342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Depository Trust Company (“DTC”) in minimum denominations of $1,000 and integral</w:t>
            </w:r>
          </w:p>
        </w:tc>
      </w:tr>
      <w:tr>
        <w:trPr>
          <w:trHeight w:val="234"/>
        </w:trPr>
        <w:tc>
          <w:tcPr>
            <w:tcW w:w="3420" w:type="dxa"/>
            <w:vAlign w:val="bottom"/>
            <w:tcBorders>
              <w:left w:val="single" w:sz="8" w:color="auto"/>
            </w:tcBorders>
          </w:tcPr>
          <w:p>
            <w:pPr>
              <w:spacing w:after="0"/>
              <w:rPr>
                <w:sz w:val="20"/>
                <w:szCs w:val="20"/>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multiples of $1,000 in excess thereof.</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441"/>
        </w:trPr>
        <w:tc>
          <w:tcPr>
            <w:tcW w:w="34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Global Note; Book Entry System:</w:t>
            </w:r>
          </w:p>
        </w:tc>
        <w:tc>
          <w:tcPr>
            <w:tcW w:w="7600" w:type="dxa"/>
            <w:vAlign w:val="bottom"/>
            <w:tcBorders>
              <w:right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The Notes offered hereby will be evidenced by a global note deposited with the trustee for</w:t>
            </w:r>
          </w:p>
        </w:tc>
      </w:tr>
      <w:tr>
        <w:trPr>
          <w:trHeight w:val="234"/>
        </w:trPr>
        <w:tc>
          <w:tcPr>
            <w:tcW w:w="3420" w:type="dxa"/>
            <w:vAlign w:val="bottom"/>
            <w:tcBorders>
              <w:left w:val="single" w:sz="8" w:color="auto"/>
            </w:tcBorders>
          </w:tcPr>
          <w:p>
            <w:pPr>
              <w:spacing w:after="0"/>
              <w:rPr>
                <w:sz w:val="20"/>
                <w:szCs w:val="20"/>
                <w:color w:val="auto"/>
              </w:rPr>
            </w:pPr>
          </w:p>
        </w:tc>
        <w:tc>
          <w:tcPr>
            <w:tcW w:w="5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Notes, as custodian for DTC.</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172"/>
        </w:trPr>
        <w:tc>
          <w:tcPr>
            <w:tcW w:w="3420" w:type="dxa"/>
            <w:vAlign w:val="bottom"/>
            <w:tcBorders>
              <w:left w:val="single" w:sz="8" w:color="auto"/>
              <w:bottom w:val="single" w:sz="8" w:color="auto"/>
            </w:tcBorders>
          </w:tcPr>
          <w:p>
            <w:pPr>
              <w:spacing w:after="0"/>
              <w:rPr>
                <w:sz w:val="14"/>
                <w:szCs w:val="14"/>
                <w:color w:val="auto"/>
              </w:rPr>
            </w:pPr>
          </w:p>
        </w:tc>
        <w:tc>
          <w:tcPr>
            <w:tcW w:w="5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r>
      <w:tr>
        <w:trPr>
          <w:trHeight w:val="361"/>
        </w:trPr>
        <w:tc>
          <w:tcPr>
            <w:tcW w:w="3420" w:type="dxa"/>
            <w:vAlign w:val="bottom"/>
          </w:tcPr>
          <w:p>
            <w:pPr>
              <w:spacing w:after="0"/>
              <w:rPr>
                <w:sz w:val="24"/>
                <w:szCs w:val="24"/>
                <w:color w:val="auto"/>
              </w:rPr>
            </w:pPr>
          </w:p>
        </w:tc>
        <w:tc>
          <w:tcPr>
            <w:tcW w:w="5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Beneficial interests in the global note will be shown on, and transfers of those beneficial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interests can only be made through, records maintained by DTC and its participants. See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“Description of the Subordinated Notes—Form, Denomination, Transfer, Exchange and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Book-Entry Procedures.”</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do not intend to apply for listing of the Notes on any securities exchange or automated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dealer quotation system. Currently, there is no public market for the Notes, and there can</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be no assurances that any public market for the Notes will develop.</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Day Count Convention:</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Interest will be calculated on the basis of a 360-day year consisting of twelve 30-day</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months during the fixed rate period and on the basis of a 360-day year and the actual</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number of days elapsed during the floating rate period.</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Considerations: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You should carefully review the section entitled “U.S. Federal Income Tax Considerations”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 this prospectus supplement and discuss with your tax advisor the particular tax</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consequences to you of an investment in the Notes.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Benefit Plan Considerations: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For a discussion of certain prohibited transactions and fiduciary duty issues pertaining to</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purchases of the Notes by or on behalf of an employee benefit plan, please read “Certain</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Benefit Plan Considerations” below.</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Notes and the Subordinated Indenture will be governed by the laws of the State of</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New York.</w:t>
            </w:r>
          </w:p>
        </w:tc>
      </w:tr>
      <w:tr>
        <w:trPr>
          <w:trHeight w:val="459"/>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Wilmington Trust, National Association.</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 investment in the Notes involves risks. You should carefully consider the information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contained under “Risk Factors” in this prospectus supplement and the accompanying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prospectus and Item “1A. Risk Factors” of Part I of our Annual Report on Form 10-K for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fiscal year ended December 31, 2025, as well as other information included or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 and the accompanying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prospectus, including our financial statements and the notes thereto, before making an</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investment decision.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Calculation Agent:</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appoint a calculation agent for the Notes (which may be us or an affiliate) prior to</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commencement of the floating rate period. We will act as the initial calculation agent.</w:t>
            </w:r>
          </w:p>
        </w:tc>
      </w:tr>
      <w:tr>
        <w:trPr>
          <w:trHeight w:val="172"/>
        </w:trPr>
        <w:tc>
          <w:tcPr>
            <w:tcW w:w="3240" w:type="dxa"/>
            <w:vAlign w:val="bottom"/>
            <w:tcBorders>
              <w:left w:val="single" w:sz="8" w:color="auto"/>
              <w:bottom w:val="single" w:sz="8" w:color="auto"/>
            </w:tcBorders>
          </w:tcPr>
          <w:p>
            <w:pPr>
              <w:spacing w:after="0"/>
              <w:rPr>
                <w:sz w:val="14"/>
                <w:szCs w:val="14"/>
                <w:color w:val="auto"/>
              </w:rPr>
            </w:pPr>
          </w:p>
        </w:tc>
        <w:tc>
          <w:tcPr>
            <w:tcW w:w="7780" w:type="dxa"/>
            <w:vAlign w:val="bottom"/>
            <w:tcBorders>
              <w:bottom w:val="single" w:sz="8" w:color="auto"/>
              <w:right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Notes involves a number of risks. This prospectus supplement does not describe all of those risks. Before you decide whether an investment in the Notes is suitable for you, you should carefully consider the risks described below relating to the offering as well as the risk factors concerning our business included in the accompanying prospectus and in our Annual Report on Form 10-K for the fiscal year ended December 31, 2025, in addition to the other information in this prospectus supplement and the accompanying prospectus, including our other filings which are incorporated by reference into this prospectus supplement and the accompanying prospectus. See “Where You Can Find More Information” in this prospectus supplement and the accompanying prospectus for discussions of these other filings. The prospectus is qualified in its entirety by these risk factors.</w:t>
      </w:r>
    </w:p>
    <w:p>
      <w:pPr>
        <w:spacing w:after="0" w:line="291"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supplement and the accompanying prospectus also contain forward-looking statements that involve risks and uncertainties. Our actual results could differ materially from those anticipated in these forward-looking statements as a result of certain factors, including the risks faced by us described below and elsewhere in this prospectus supplement, the accompanying prospectus and the documents incorporated by reference herein and therein. See “Cautionary Note Regarding Forward-Looking Statements” in this prospectus supplement. The prospectus supplement is qualified in its entirety by those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Please refer to “Item 1A—Risk Factors” in Part I in our Annual Report on Form 10-K for the fiscal year ended December 31, 2025, which includes a discussion of certain risks related to our business and which is incorporated by reference into this prospectus supplement and the accompanying prospectus. See “Where You Can Find More Information” on page S-iii of this prospectus supplement and page 2 of the accompanying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should not rely on indicative or historical data concerning SOFR.</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In the following discussion of the Secured Overnight Financing Rate (“SOFR”), when we refer to “SOFR-linked Notes,” we mean the Notes at any time when the interest rate on the Notes is or will be determined based on SOFR, including Three-Month Term SOFR.</w:t>
      </w:r>
    </w:p>
    <w:p>
      <w:pPr>
        <w:spacing w:after="0" w:line="16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Federal Reserve Bank of New York (the “FRBNY”) began to publish SOFR in April 2018 and the SOFR Index in March 2020 and has published modeled, pre-publication estimates of SOFR going back to 2014. Such pre-publication estimates inherently involve assumptions, estimates and approximations. Hypothetical or historical performance data and trends are not indicative of, and have no bearing on, the potential performance of SOFR and therefore you should not rely on any such data or trends as an indicator of future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SOFR may be more volatile than other benchmark or market rates.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comparable benchmark or market rates. As a result, the return on and value of SOFR-linked Notes may fluctuate more than floating rate debt securities that are linked to less volatile rates. The future performance of SOFR is unpredictable, and therefore no future performance of SOFR should be inferred from any hypothetical or historical data or trends.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SOFR could adversely affect the amount of interest that accrues on the SOFR-linked Notes and the trading prices for the SOFR-linked Notes.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SOFR is published by the FRBNY based on data received from other sources, we have no control over its determination, calculation or publication. There can be no assurance that SOFR will not be discontinued or fundamentally altered in a manner that is materially adverse to the interests of investors in the SOFR-linked Notes. If the manner in which SOFR is calculated is changed, that change may result in a reduction in the amount of interest that accrues on the SOFR-linked Notes, which may adversely affect the trading prices of the SOFR-linked Notes. In addition, the interest rate on the SOFR-linked Notes for any day will not be adjusted for any modification or amendment to SOFR for that day that the FRBNY may publish if the interest rate for that day has already been determined prior to such publication. Further, if the Benchmark rate on the SOFR-linked Notes during the floating rate period for any interest period declines to zero or becomes negative, interest will only accrue on the SOFR-linked Notes at a rate equal to the spread of        basis points per annum with respect to that interest period. There is no assurance that changes in SOFR could not have a material adverse effect on the return on, value of and market for the SOFR-linked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 for the Notes during the floating rate period may be determined based on a rate other than Three-Month Term SOFR.</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Notes, the interest rate on the Notes for each interest period during the floating rate period will be based on Three-Month Term SOFR, a forward-looking term rate for a tenor of three months that will be based on SOFR. On July 29, 2021, the Alternative Reference Rates Committee (“ARRC”) formally recommended the use of the CME Group Benchmark Administration Limited’s computation of forward-looking SOFR term rates. Uncertainty surrounding the adoption and use of forward-looking term rates based on SOFR could have a material adverse effect on the return on, value of and market for the Notes. If, at the commencement of the floating rate period for the Notes, the calculation agent determines that the use of a forward-looking rate for a tenor of three months based on SOFR is not administratively feasible, then the next-available Benchmark Replacement under the benchmark transition provisions will be used to determine the interest rate on the Notes during the floating rate period (unless a Benchmark Transition Event and its related Benchmark Replacement Date occur with respect to that next-available Benchmark Replacement).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Notes, the calculation agent is expressly authorized to make determinations, decisions or elections with respect to technical, administrative or operational matters that it decides are appropriate to reflect the use of Three-Month Term SOFR as the interest rate basis for the Notes, which are defined in the terms of the Notes as “Three-Month Term SOFR Conventions.” The calculation agent’s determination and implementation of any Three-Month Term SOFR Conventions could result in adverse consequences to the amount of interest that accrues on the Notes during the floating rate period, which could adversely affect the return on, value of and market for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Benchmark Replacement may not be the economic equivalent of Three-Month Term SOFR.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benchmark transition provisions of the Notes, if the calculation agent determines that a Benchmark Transition Event and its related Benchmark Replacement Date have occurred with respect to Three-Month Term SOFR, then the interest rate on the Notes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(as defined in “Description of the Subordinated Notes—Effect of Benchmark Transition Event”), the first available Benchmark Replacement, is the compounded average of the daily SOFR calculated in arrears, while Three-Month Term SOFR is intended to be a forward-looking rate with a tenor of three months. Neither ARRC nor the FRBNY has made a final determination regarding the method for calculating Compounded SOFR.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Notes will have no rights against the publishers of SOFR (or, if applicable, the Benchmark Replacement).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the Notes will have no rights against the publishers of SOFR (or, if applicable, the Benchmark Replacement), even though the amount they receive on each interest payment date after        , 2031 will depend upon the level of Three-Month Term SOFR (or, if applicable, the Benchmark Replacement). The publishers of SOFR or any Benchmark Replacement rate are not in any way involved in this offering and have no obligations relating to the Notes or the holders of the Notes.</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implementation of Benchmark Replacement Conforming Changes could adversely affect the amount of interest that accrues on the Notes and the trading prices for the Notes.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the benchmark transition provisions of the Notes,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(such as ARRC or the FRBNY), (ii) ISDA, or (iii) in certain circumstances, the calculation agent. In addition, the benchmark transition provisions expressly authorize the calculation agent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the floating rate period, which could adversely affect the return on, value of and market for the Notes.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Notes will vary after            , 2031.</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fixed rate period, the Notes will bear interest at an initial rate of    % per annum. Thereafter, the Notes will bear interest at a floating rate per annum equal to the Benchmark rate (which is expected to be Three-Month Term SOFR) plus      basis points, subject to the provisions under “Description of the Subordinated Notes—Interest.” The per annum interest rate that is determined at the reference time for each interest period will apply to the entire quarterly interest period following such determination date even if the Benchmark rate increases during that period.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Floating rate notes bear additional risks not associated with fixed rate debt securities. These risks include fluctuation of the interest rates and the possibility that you will receive an amount of interest that is lower than expected. We have no control over a number of matters that may impact prevailing interest rates,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or an affiliate may act as the calculation agent and may have economic interests adverse to the interests of the holders of the Notes.</w:t>
      </w:r>
    </w:p>
    <w:p>
      <w:pPr>
        <w:spacing w:after="0" w:line="121" w:lineRule="exact"/>
        <w:rPr>
          <w:sz w:val="20"/>
          <w:szCs w:val="20"/>
          <w:color w:val="auto"/>
        </w:rPr>
      </w:pPr>
    </w:p>
    <w:p>
      <w:pPr>
        <w:ind w:left="120" w:right="460" w:firstLine="440"/>
        <w:spacing w:after="0" w:line="258" w:lineRule="auto"/>
        <w:rPr>
          <w:sz w:val="20"/>
          <w:szCs w:val="20"/>
          <w:color w:val="auto"/>
        </w:rPr>
      </w:pPr>
      <w:r>
        <w:rPr>
          <w:rFonts w:ascii="Times New Roman" w:cs="Times New Roman" w:eastAsia="Times New Roman" w:hAnsi="Times New Roman"/>
          <w:sz w:val="18"/>
          <w:szCs w:val="18"/>
          <w:color w:val="auto"/>
        </w:rPr>
        <w:t>The calculation agent will determine the interest rate during the floating rate period and has the ability to adopt Benchmark Replacement Conforming Changes. We will act as the initial calculation agent for the Notes and, though we will appoint a calculation agent prior to the commencement of the floating rate period, we may appoint ourselves or an affiliate. Any exercise of discretion by us under the terms of the Notes, including, without limitation, any discretion exercised by us acting as calculation agent, could present a conflict of interest. In making the required determinations, decisions and elections, we may have economic interests that are adverse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to the interests of the holders of the Notes, and those determinations, decisions or elections could have a material adverse effect on the yield on, value of and market for the Notes. Any determination by us, as the calculation agent, will be final and binding absent manifest error.</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Subordinated Indenture does not contain any limitations on our ability to incur additional indebtedness, grant or incur liens on our assets, sell or otherwise dispose of any of our assets, pay dividends or repurchase our securities.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Neither we nor any of our subsidiaries are restricted from incurring additional indebtedness or other liabilities, including additional senior or subordinated indebtedness, under the Subordinated Indenture. If we incur additional indebtedness or liabilities, our ability to pay our obligations on the Notes could be adversely affected. We expect that we will from time to time incur additional indebtedness and other liabilities. In addition, we are not restricted under the Subordinated Indenture from granting or incurring a lien on any of our assets, selling or otherwise disposing of any of our assets, or paying dividends, including our regular quarterly dividend.</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there are no financial covenants in the Subordinated Indenture. Except as expressly provided in the Subordinated Indenture, you are not protected under the Subordinated Indenture in the event of a highly leveraged transaction, reorganization, default under our existing indebtedness, restructuring, merger or similar transaction that may adversely affect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the Notes may be redeemed at our option under certain circumstances prior to their maturity, you may be subject to reinvestment risk.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prior approval of the Federal Reserve (or, as and if applicable, the rules of any appropriate successor bank regulatory agency), to the extent that such approval is then required under applicable laws or regulations, including capital regulations, we may redeem the Notes at our option in whole or in part beginning with the interest payment date of        , 2031, and on any date thereafter. In addition, at any time at which any Notes remain outstanding, subject to the prior approval of the Federal Reserve (or, as and if applicable, the rules of any appropriate successor bank regulatory agency), to the extent that such approval is then required under applicable laws or regulations, including capital regulations, we may redeem the Notes in whole but not in part upon the occurrence of (1) a “Tier 2 Capital Event,” (2) a “Tax Event” or (3) if we are required to register as an investment company pursuant to the 1940 Act (as such terms are defined in “Description of the Subordinated Notes—Redemption.”). In the event that we redeem the Notes, holders of the Notes will receive only the principal amount of the Notes plus any accrued and unpaid interest to, but excluding, such redemption date. If any redemption occurs, holders of the Notes will not have the opportunity to continue to accrue and be paid interest to the stated maturity date. Any such redemption may have the effect of reducing the income or return that you may receive on an investment in the Notes by reducing the term of the investment. If this occurs, you may not be able to reinvest the redemption proceeds in a comparable security at an effective interest rate as high as the interest rate on the Notes. See “Description of the Subordinated Notes—Redemption.”</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Investors should not expect us to redeem the Notes on or after the date on which they become redeemable at our option. Under Federal Reserve regulations, unless the Federal Reserve authorizes us in writing to do otherwise, we may not redeem the Notes unless they are replaced with other Tier 2 capital instruments or unless we can demonstrate to the satisfaction of the Federal Reserve that, following redemption, we will continue to hold capital commensurate with our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level of Three-Month Term SOFR (or, if applicable, any Benchmark Replacement) may affect our decision to redeem the Notes.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more likely to redeem the Notes on or after        , 2031 if the interest rate on them is higher than that which would be payable on one or more other forms of borrowing. If we redeem the Notes prior to their maturity date, holders may not be able to invest in comparable securities that yield as much interest as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obligations under the Notes will be unsecured and subordinated to any Senior Indebtedness.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Notes will be general unsecured, subordinated obligations of the Company. Accordingly, they will be junior in right of payment to any of our existing and future Senior Indebtedness. The Notes will rank equally with all of our other existing and future subordinated indebtedness, including any indebtedness issued in the future under the Subordinated Indenture. In addition, the Notes will be effectively subordinated to all of our secured indebtedness to the extent of the value of the collateral securing such indebtedness, and will be structurally subordinated to any existing and future liabilities and obligations, including deposits, of our current and future subsidiaries, including the Bank. As of December 31, 2025, on a consolidated basis, the Company had no Senior Indebtedness outstanding and $22.4 billion of deposits and other liabilities, to which the Notes will be structurally subordinated.</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and other financial obligations or secured obligations that we or our subsidiaries may incur.</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herein, holders of Notes may not be fully repaid in the event of our bankruptcy, liquidation or reorganization.</w:t>
      </w:r>
    </w:p>
    <w:p>
      <w:pPr>
        <w:spacing w:after="0" w:line="26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not be obligations of, or insured or guaranteed by, the FDIC, any other governmental agency or any of our subsidiaries and will be structurally subordinated to all liabilities of our subsidiaries.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will be obligations of the Company only and will not be obligations of, or guaranteed or insured by, the FDIC, any other governmental agency or any of our subsidiaries, including the Bank. The Notes will be structurally subordinated to all existing and future indebtedness and other liabilities and obligations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the debt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 substantial level of debt that could materially adversely affect our ability to generate sufficient cash to fulfill our obligations under the Notes.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our subsidiaries, are subject to any limitations under the terms of the Subordinated Indenture from issuing, accepting or incurring any amount of additional debt, deposits or other liabilities, including Senior Indebtedness or other obligations ranking senior to or equally with the Notes. We expect that we and our subsidiaries will incur additional debt and other liabilities from time to time, and our level of debt and the risks related thereto could increase.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substantial level of debt could have important consequences to holders of the Notes, including the following: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including the Notes;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debt, thereby reducing funds available for other purposes;</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 which could place us at a disadvantage relative to our competitors that have less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industries in which we operate;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dispose of assets to raise funds, if needed, for working capital, capital expenditures, acquisitions and other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default on payments under any of the foregoing obligations that are senior to the Notes, or any judicial proceeding with respect to a default is pending, we will not be able to make payments on the Notes, unless we cure the default. If we liquidate, go bankrupt or dissolve, we would be able to pay under the Notes only after we have paid in full all of our liabilities that are senior to the Notes. At December 31, 2025, we had no Senior Indebtedness outstanding. The Subordinated Indenture does not limit the amount of Senior Indebtedness that we may incur. For more information on the subordination of payments under the Notes, see “Description of the Subordinated Notes—Subordination.”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a breach of any of the restrictions or covenants in our existing debt agreements could cause a cross-default under other debt agreements. A significant portion of our debt then may become immediately due and payable. We are not certain whether, if this were to occur, we would have, or be able to obtain, sufficient funds to make these accelerated payments. If any of our debt is accelerated, our assets may not be sufficient to repay such debt in full or make payments on the Notes.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banking laws and regulations could limit our access to funds from Renasant Bank with the result that we may not have access to sufficient cash to make payments on the Notes.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a separate and distinct legal entity from the Bank and our other subsidiaries. Our principal sources of funds to make payments on the Notes and our other obligations are dividends, distributions and other payments from the Bank. Federal and state banking regulations limit dividends from the Bank to us. Generally, banks are prohibited from paying dividends when doing so would cause them to fall below regulatory minimum capital levels. Additionally, under Mississippi law, a Mississippi bank, such as the Bank, may not pay dividends unless its earned surplus is in excess of three times capital stock. If our earned surplus is in excess of three times capital stock, under Mississippi law, the Bank may pay us dividends, subject to the approval of the Mississippi Department of Banking and Consumer Finance (“DBCF”). However, effective July 1, 2026, subject to certain exceptions, prior DBCF approval will no longer be required for the Bank to pay us dividends. In addition, federal bank regulatory agencies have the authority to prohibit the Bank from engaging in unsafe or unsound practices in conducting its business. The payment of dividends or other transfers of funds to us, depending on the financial condition of the Bank, could be deemed an unsafe or unsound practice.</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Dividend payments from the Bank would also be prohibited under the “prompt corrective action” regulations of federal bank regulators if the Bank is, or after payment of such dividends would be, undercapitalized under such regulations. In addition, the Bank is subject to restrictions under federal law that limit its ability to transfer funds or other items of value to us and our non-bank subsidiaries, including affiliates, whether in the form of loans and other extensions of credit, investments and asset purchases, or as other transactions involving the transfer of value. Unless an exemption applies, these transactions by the Bank with us are limited to 10% of the Bank’s capital stock and surplus and, with respect to all such transactions with affiliates in the aggregate, to 20% of the Bank’s capital stock and surplus. At December 31, 2025, a maximum of approximately $287.7 million was available to us from the Bank pursuant to these limitations. Moreover, loans and extensions of credit by the Bank to its affiliates, including us, generally are required to be secured in specified amounts. A bank’s transactions with its non-bank affiliates also are required generally to be on arm’s-length terms.</w:t>
      </w:r>
    </w:p>
    <w:p>
      <w:pPr>
        <w:spacing w:after="0" w:line="18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Accordingly, we can provide no assurance that we will receive dividends or other distributions from our subsidiaries, including the Bank, in an amount sufficient to pay interest on or principal of the Notes.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including the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principal and interest, or to satisfy our obligations in respect of our debt or to refinance our debt, will depend on the future performance of our operating subsidiaries, primarily the Bank. Prevailing economic conditions (including interest rates), regulatory constraints, including, among other things, limiting distributions to us from the Bank and required capital levels with respect to the Bank and certain of our nonbank subsidiaries,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on commercially reasonable terms or at all.</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guidelines may restrict our ability to pay the principal of, and accrued and unpaid interest on, the Notes, regardless of whether we are the subject of an insolvency proceeding.</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bank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becomes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Notes will have limited rights, including limited rights of acceleration, if there is an event of default.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circumstances under which the payment of the principal amount of the Notes can be accelerated are limited. Payment of principal on the Notes may be accelerated only in the case of certain events of bankruptcy or insolvency involving us or the Bank. There is no automatic acceleration, or right of acceleration, in the case of default in the payment of principal or interest on the Notes, or in the performance of any of our other obligations under the Notes or the Subordinated Indenture. Our regulators can, if we or the Bank become subject to an enforcement action, prohibit the Bank from paying dividends to us, and prevent our payment of interest or principal on the Notes and any dividends on our capital stock, but such limits will not permit acceleration of the Notes. See “Description of the Subordinated Notes—Events of Default.”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limited covenants relating to the Notes do not protect you.</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covenants in the Subordinated Indenture are limited. In addition, the Notes and the Subordinated Indenture do not limit our or our subsidiaries’ ability to further issue additional Notes, including additional notes of the same series as the Notes, or to incur additional debt. As a result, the terms of the Subordinated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do not protect you in the event of an adverse change in our financial condition or results of operations, and you should not consider the terms of the Subordinated Indenture to be a significant factor in evaluating whether we will be able to comply with our obligations under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no active trading market for the Notes.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Notes are a new issuance of securities with no established trading market. We do not intend to apply for listing of the Notes on any national securities exchange or seek their inclusion on any automated dealer quotation system. Certain of the underwriters have advised us that they presently intend to make a market in the Notes. However, they are under no obligation to do so and may discontinue any market-making activities at any time without any notice. A liquid or active trading market for the Notes may not develop.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performance and other factors. You should also carefully consider how any potential inconsistencies between the adoption of reference rates based on SOFR across different markets may impact any hedging or other financial arrangements which you may put in place in connection with any acquisition, holding or disposal of the Notes.</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trading market for the Notes develops, changes in the debt markets, among other things, could adversely affect your ability to liquidate your investment in the Notes and the market price of the Notes.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factors could affect the trading market for, and the trading value of, the Notes. These factors include: the method of calculating the principal, premium, if any, interest or other amounts payable, if any, on the Notes; the time remaining to the maturity of the Notes; the ranking of the Notes; the redemption features of the Notes; the outstanding amount of notes with terms identical to the Notes;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and geopolitical conditions and other financial, political, regulatory, and judicial events that affect the capital markets generally. The condition of the financial markets and prevailing interest rates have fluctuated significantly in the past and are likely to fluctuate in the future. Such fluctuations could adversely affect the trading market (if any) for, and the market price of,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published credit ratings may not reflect all risks of an investment in the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published credit ratings of us or our indebtedness are an assessment by Kroll Bond Rating Agency (“KBRA”)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such rating agency at the time the rating is issued. The published credit rating assigned to the Notes may not reflect the potential impact of all risks related to structure and other factors on any trading market for, or trading value of, the Notes. Accordingly, you should consult your own financial and legal advisors as to the risks entailed by an investment in the Notes and the suitability of investing in the Notes in light of your particular circumstances.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have a material adverse impact on us.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KBRA continuously evaluates us and our subsidiaries, and its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may not be able to maintain our current credit ratings. Ratings downgrades by a rating agency could have a significant and immediate impact on our funding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liquidity through cash obligations, reduced funding capacity and collateral triggers. A reduction in our credit ratings could also increase our borrowing costs and limit access to the capital markets.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the market value of our other securities, including the Notes, and could limit our access to or increase our cost of capital. No report of the rating agencies is incorporated by reference herein.</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60"/>
          </w:cols>
          <w:pgMar w:left="320" w:top="455" w:right="6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underwriting discounts and estimated offering expenses, will be approximately $    . We intend to use the net proceeds from this offering for general corporate purposes, including the potential redemption of the $40 million aggregate principal amount outstanding of our 5.50% Fixed-to-Floating Rate Subordinated Notes due September 1, 2031 (the “2031 Notes”). This prospectus supplement does not constitute a notice of redemption with respect to the 2031 Notes.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net proceeds of this offering as described above (or for other purposes), we may invest such proceeds in highly liquid, short-term securities or in deposit accounts at the Bank.</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740"/>
          </w:cols>
          <w:pgMar w:left="320" w:top="455" w:right="8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our capitalization on a consolidated basis, as of December 31, 2025:</w:t>
      </w:r>
    </w:p>
    <w:p>
      <w:pPr>
        <w:spacing w:after="0" w:line="142"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ectPr>
          <w:pgSz w:w="11900" w:h="16838" w:orient="portrait"/>
          <w:cols w:equalWidth="0" w:num="1">
            <w:col w:w="10980"/>
          </w:cols>
          <w:pgMar w:left="320" w:top="455" w:right="59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an adjusted basis to give effect to the sale of the Notes for total net proceeds of approximately $    after deducting the underwriting discount and estimated offering expenses, and the redemption of the $40 million aggregate principal amount outstanding of our 2031 Notes.</w:t>
      </w:r>
    </w:p>
    <w:p>
      <w:pPr>
        <w:spacing w:after="0" w:line="176" w:lineRule="exact"/>
        <w:rPr>
          <w:sz w:val="20"/>
          <w:szCs w:val="20"/>
          <w:color w:val="auto"/>
        </w:rPr>
      </w:pPr>
    </w:p>
    <w:p>
      <w:pPr>
        <w:sectPr>
          <w:pgSz w:w="11900" w:h="16838" w:orient="portrait"/>
          <w:cols w:equalWidth="0" w:num="2">
            <w:col w:w="720" w:space="360"/>
            <w:col w:w="9900"/>
          </w:cols>
          <w:pgMar w:left="320" w:top="455" w:right="599" w:bottom="1440" w:gutter="0" w:footer="0" w:header="0"/>
          <w:type w:val="continuous"/>
        </w:sect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“as adjusted” information below is illustrative only and our capitalization following the closing of this offering will be adjusted based on the final terms of this offering.</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should be read together with the “Use of Proceeds” section and the audited consolidated financial statements and related notes and Management’s Discussion and Analysis of Financial Conditions and Results of Operations in our Annual Report on Form 10-K for the year ended December 31, 2025.</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1,070,718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5,043,960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16,429,110</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555,774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5.50% Fixed-to-Floating Rate Subordinated Notes due 2031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 Fixed-to-Floating Rate Subordinated Notes due 2031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6.40% Fixed-to-Floating Rate Subordinated Notes due 2033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 Fixed-to-Floating Rate Subordinated Notes due 2035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subordinated notes due 2036 offered hereby</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499,756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and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$5.00 par value, 250,000,000 shares authorized; 97,722,397 shares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94,636,207 outstanding</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488,612</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3,086,190 shares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(103,494)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3,884,905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26,751,426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S-19</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SUBORDINATED NOTES</w:t>
      </w:r>
    </w:p>
    <w:p>
      <w:pPr>
        <w:spacing w:after="0" w:line="22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the  % Fixed-to-Floating Rate Subordinated Notes due 2036 (the “Notes”) does not purport to be complete and is qualified in its entirety by the Subordinated Indenture (as defined below) and the Notes, including the definitions therein of certain terms. Unless otherwise specified, capitalized terms used in the summary have the meanings specified in the Subordinated Indenture. The following description of the particular terms of the Subordinated Indenture and the Notes supplements, and to the extent inconsistent therewith replaces, the description of the general terms and provisions of the subordinated debt in the accompanying prospectus, to which description we refer you. For purposes of this “Description of the Subordinated Notes,” references to the “Company,” “we” and “us” include only Renasant Corporation and not its consolidated subsidiaries.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Notes offered hereby will be issued under a subordinated indenture, dated as of August 22, 2016, as amended and supplemented by a fifth supplemental indenture, dated as of May   , 2026, between the Company and Wilmington Trust, National Association, as trustee, which together we refer to in this summary as the “Subordinated Indenture.”</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Notes will be our general unsecured, subordinated obligations and will rank senior to our Outstanding Floating Rate Junior Subordinated Debentures, and equally with all of our other unsecured, subordinated obligations from time to time outstanding, including the Outstanding Pari Passu Debt. The Notes will rank junior and be subordinated to all of our existing and future Senior Indebtedness (as defined below) to the extent and in the manner set forth in the Subordinated Indenture. In addition, the Notes will be effectively subordinated to all of our secured indebtedness to the extent of the value of the collateral securing such indebtedness. The Notes will be structurally subordinated to all of the existing and future liabilities and obligations of our subsidiaries, including the deposit liabilities and claims of other creditors of the Bank. See “—Subordination.” The Notes will be our obligations only and will not be obligations of, and will not be guaranteed by, any of our subsidiaries.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Notes will mature on        , 2036 (the “Maturity Date”), unless previously redeemed or otherwise accelerated. The Notes are not convertible into, or exchangeable for, equity securities, other securities, or assets or property of the Company or its subsidiaries. There is no sinking fund for the Notes. We intend for the Notes to qualify (subject to applicable limitations) as Tier 2 capital under applicable capital regulations, guidance, and interpretations of the Federal Reserve. We do not intend to apply for the listing of the Notes on any securities exchange or the quotation of the Notes on any quotation system. The Notes will be issued in minimum denominations of $1,000 and integral multiples of $1,000 in excess thereof.</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Beginning with the interest payment date of        , 2031, and on any date thereafter, we may, at our option, subject to obtaining the prior approval of the Federal Reserve to the extent such approval is then required under the rules of the Federal Reserve (or, as and if applicable, the rules of any successor appropriate bank regulatory agency) (“Federal Reserve Approval”), redeem the Notes, in whole or in part, at a price equal to 100% of the principal amount of the Notes to be redeemed plus any accrued and unpaid interest to, but excluding, the redemption date. The Notes may not be redeemed by us prior to        , 2031, except that we may, at our option, subject to Federal Reserve Approval, redeem the Notes in whole, but not in part, prior to maturity, including prior to        , 2031, upon the occurrence of a “Tax Event” or a “Tier 2 Capital Event” (as such terms are defined in the Subordinated Indenture) or if we are required to register as an investment company pursuant to the 1940 Act, in each case, at a price equal to 100% of the principal amount of the Notes plus any accrued and unpaid interest to, but excluding, the redemption date. Any partial redemption will be made in accordance with the applicable procedures of The Depository Trust Company (with its successors, “DTC”). See “— Redemption.”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Subordinated Indenture does not limit the amount of Notes that we may issue from time to time in one or more series. The Subordinated Indenture permits us to increase the principal amount of the Notes by issuing additional Notes on the same terms and conditions as the Notes (except for any differences in the issue price and interest accrued prior to the date of issuance of the additional Notes), and with the same CUSIP number as the Notes, provided that the additional Notes are fungible with the Notes for United States federal income tax purposes. The Notes and any additional Notes issued by the Company will rank equally and ratably and shall be treated as a single series of securities for all purposes under the Supplemental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From and including the date of original issuance to, but excluding,        , 2031 or the date of earlier redemption (the “fixed rate period”), the Notes will bear interest at a rate of   % per annum, payable semi-annually in arrears on        and        of each year (each, a “fixed rate interest payment date”), commencing on        , 2026. The last fixed rate interest payment date for the fixed rate period will be        , 2031.</w:t>
      </w:r>
    </w:p>
    <w:p>
      <w:pPr>
        <w:sectPr>
          <w:pgSz w:w="11900" w:h="16838" w:orient="portrait"/>
          <w:cols w:equalWidth="0" w:num="1">
            <w:col w:w="11120"/>
          </w:cols>
          <w:pgMar w:left="320" w:top="455" w:right="459" w:bottom="1440" w:gutter="0" w:footer="0" w:header="0"/>
        </w:sectPr>
      </w:pP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From and including        , 2031 to, but excluding, the Maturity Date or the date of earlier redemption (the “floating rate period”), the Notes will bear interest at a floating rate per annum equal to the Benchmark rate (which is expected to be Three-Month Term SOFR) plus a spread of      basis points. For each quarterly interest period during the floating rate period, interest will be payable quarterly in arrears on         ,         ,</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403" w:lineRule="exact"/>
        <w:rPr>
          <w:sz w:val="20"/>
          <w:szCs w:val="20"/>
          <w:color w:val="auto"/>
        </w:rPr>
      </w:pPr>
    </w:p>
    <w:p>
      <w:pPr>
        <w:sectPr>
          <w:pgSz w:w="11900" w:h="16838" w:orient="portrait"/>
          <w:cols w:equalWidth="0" w:num="2">
            <w:col w:w="10880" w:space="40"/>
            <w:col w:w="200"/>
          </w:cols>
          <w:pgMar w:left="320" w:top="455" w:right="459" w:bottom="1440" w:gutter="0" w:footer="0" w:header="0"/>
          <w:type w:val="continuous"/>
        </w:sect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        and         of each year (each, a “floating rate interest payment date” and, together with the fixed rate interest payment dates, the “interest payment dates”), commencing on        , 2031. Notwithstanding the foregoing, if the Benchmark rate is less than zero, the Benchmark rate shall be deemed to be zero.</w:t>
      </w:r>
    </w:p>
    <w:p>
      <w:pPr>
        <w:spacing w:after="0" w:line="18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For the purpose of calculating the interest on the Notes for each interest period during the floating rate period when the Benchmark is Three-Month Term SOFR, “Three-Month Term SOFR” means the rate for Term SOFR for a tenor of three months that is published by the Term SOFR Administrator at the Reference Time for any interest period, as determined by the calculation agent after giving effect to the Three-Month Term SOFR Conventions. We will act as the initial calculation agent. We shall take such actions as are necessary to ensure that, from the commencement of the floating rate period, for so long as any of the Notes are outstanding, there will at all times be a calculation agent appointed. For the avoidance of doubt, if at any time there is no calculation agent appointed by us, we will act as the calculation agent.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will not be under any duty to succeed to, assume or otherwise perform any of the duties of the calculation agent, or to appoint a successor or replacement in the event of the calculation agent’s resignation or removal or to replace the calculation agent in the event of a default, breach or failure of performance on the part of the calculation agent with respect to the calculation agent’s duties under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“Benchmark” means, initially, Three-Month Term SOFR; provided that if the calculation agent determines on or prior to the Reference Time that a Benchmark Transition Event and its related Benchmark Replacement Date have occurred with respect to Three-Month Term SOFR or the then-current Benchmark, then “Benchmark” means the applicable Benchmark Replacement.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“FRBNY’s Website” means the website of the FRBNY at http://www.newyorkfed.org, or any successor source. The foregoing website is an inactive textual reference only, meaning that the information contained on the website is not part of this prospectus supplement or the accompanying prospectus or incorporated by reference herein or therein.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“Reference Time” with respect to any determination of the Benchmark means (1) if the Benchmark is Three-Month Term SOFR, the date that is two (2) U.S. Government Securities Business Days prior to the start of the relevant floating rate interest period, or such other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and/or the FRBNY, or a committee officially endorsed or convened by the Federal Reserve and/or the FRBNY or any successor thereto.</w:t>
      </w:r>
    </w:p>
    <w:p>
      <w:pPr>
        <w:spacing w:after="0" w:line="162"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“SOFR” means the secured overnight financing rate published by the FRBNY, as the administrator of the Benchmark (or a successor administrator), on the FRBNY’s Website.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“Term SOFR” means the forward-looking term rate based on SOFR that has been selected or recommended by the Relevant Governmental Body.</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“Term SOFR Administrator” means the CME Group Benchmark Administration Limited (the “CBA”) (or a successor administrator of Three-Month Term SOFR selected by the calculation agent in its reasonable discretion).</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w:t>
      </w:r>
    </w:p>
    <w:p>
      <w:pPr>
        <w:spacing w:after="0" w:line="189" w:lineRule="exact"/>
        <w:rPr>
          <w:sz w:val="20"/>
          <w:szCs w:val="20"/>
          <w:color w:val="auto"/>
        </w:rPr>
      </w:pPr>
    </w:p>
    <w:p>
      <w:pPr>
        <w:jc w:val="both"/>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The terms “Benchmark Replacement,” “Benchmark Replacement Conforming Changes,” “Benchmark Replacement Date,” “Benchmark Transition Event” and “Corresponding Tenor” have the meanings set forth below under the heading “—Effect of Benchmark Transition Event.”</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paragraphs related to the determination of interest, if the calculation agent determines on or prior to the relevant Reference Time that a Benchmark Transition Event and its related Benchmark Replacement Date have occurred with respect to Three-Month Term SOFR, then the provisions set forth below under the heading “—Effect of Benchmark Transition Event,” which we refer to as the “benchmark transition provisions,” will thereafter apply to all subsequent determinations of the interest rate on the Notes for each interest period during the floating rate period. In accordance with the benchmark transition provisions, after a Benchmark Transition Event and its related Benchmark Replacement Date have occurred, the interest rate on the Notes for each interest period during the floating rate period will subsequently be an annual rate equal to the Benchmark Replacement plus        basis points.</w:t>
      </w:r>
    </w:p>
    <w:p>
      <w:pPr>
        <w:spacing w:after="0" w:line="18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interest rate for an interest period for the Notes will be binding and conclusive on you, the trustee and us. The trustee shall have no duty to confirm or verify any such calculation. The calculation agent’s determination of any interest rate, and its calculation of interest payments for any period, will be maintained on file at the calculation agent’s principal offices, will be made available to any holder of the Notes upon request and will be provided to the trustee.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Interest shall be calculated on the basis of a 360-day year consisting of twelve 30-day months during the fixed rate period and on the basis of a 360-day year and the actual number of days elapsed during the floating rate period. Dollar amounts resulting from that calculation will be rounded to the nearest cent, with one-half cent being rounded upward.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Interest on the Notes, subject to certain exceptions, will accrue during the applicable interest period. When we use the term “interest period,” we mean the period from and including the immediately preceding interest payment date in respect of which interest has been paid or duly provided for or, if no interest has been paid or duly provided for, from and including the date of issuance of the Notes to, but excluding, the applicable interest payment date or the Maturity Date or date of earlier redemption, if applicable. In the event that any scheduled interest payment date or the Maturity Date for the Notes falls on a day that is not a business day, then payment of interest payable on such interest payment date or of principal and interest payable on the Maturity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Interest on each Note will be payable to the person in whose name such Note is registered on the fifteenth day of the month immediately preceding the applicable interest payment date, whether or not such day is a business day. Any interest which is payable, but is not punctually paid or duly provided for, on any interest payment date shall cease to be payable to the holder on the relevant record date by virtue of having been a holder on such date, and such defaulted interest may be paid by us to the person in whose name the Notes are registered at the close of business on a special record date for the payment of defaulted interest, or in any other lawful manner not inconsistent with the requirements of any securities exchange on which the Notes may be listed. However, interest that is paid on the Maturity Date will be paid to the person to whom the principal will be payable. Interest will be payable by wire transfer in immediately available funds in U.S. dollars at the office of the principal paying agent or, at our option in the event the Notes are not represented by global notes, by check mailed to the address of the person specified for payment in the preceding sentences.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the then-current Benchmark is Three-Month Term SOFR, the calculation agent will have the right to establish the Three-Month Term SOFR Conventions, and if any of the foregoing provisions concerning the calculation of the interest rate and interest payments during the floating rate period are inconsistent with any of the Three-Month Term SOFR Conventions determined by the calculation agent, then the relevant Three-Month Term SOFR Conventions will apply. Furthermore, if the calculation agent determines that a Benchmark Transition Event and its related Benchmark Replacement Date have occurred with respect to Three-Month Term SOFR at any time when any of the Notes are outstanding, then the foregoing provisions concerning the calculation of the interest rate and interest payments during the floating rate period will be modified in accordance with the benchmark transition provisions.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“Business day” means (1) each Monday, Tuesday, Wednesday, Thursday and Friday which is not a federal holiday or any day on which banking institutions in New York are authorized or obligated by law, regulation or executive order to close or (2) a day on which the corporate trust office of the trustee is not closed for business, provided that, when used in connection with an amount that bears interest at a rate based on SOFR or Term SOFR or any direct or indirect calculation or determination of SOFR or Term SOFR, the term “Business day” means any such day that is also a U.S. Government Securities Business Day.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our general unsecured, subordinated obligations and are:</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in right of payment to any of our existing and future Senior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with any of our existing and future subordinated indebtedness;</w:t>
      </w:r>
    </w:p>
    <w:p>
      <w:pPr>
        <w:spacing w:after="0" w:line="130" w:lineRule="exact"/>
        <w:rPr>
          <w:rFonts w:ascii="Times New Roman" w:cs="Times New Roman" w:eastAsia="Times New Roman" w:hAnsi="Times New Roman"/>
          <w:sz w:val="18"/>
          <w:szCs w:val="18"/>
          <w:color w:val="auto"/>
        </w:rPr>
      </w:pPr>
    </w:p>
    <w:p>
      <w:pPr>
        <w:ind w:left="5460" w:right="1840" w:hanging="4804"/>
        <w:spacing w:after="0" w:line="454" w:lineRule="auto"/>
        <w:tabs>
          <w:tab w:leader="none" w:pos="10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obligations relating to any junior subordinated debt securities issued to our capital trust subsidiaries; S-23</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of our secured indebtedness to the extent of the value of the collateral securing such indebtedness;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existing and future liabilities and obligations of our subsidiaries, including the deposit liabilities and claims of creditors of the Bank.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are junior in right of payment to the prior payment in full of all our Senior Indebtedness. This means that, under certain circumstances where we may not be making payments on all of our debt obligations as they become due, the holders of all of our Senior Indebtedness will be entitled to receive payment in full of all amounts that are due or will become due on their debt securities before the holders of the Notes will be entitled to receive any amounts under the Notes. These circumstances include when we make a payment or distribute assets to creditors upon our liquidation, dissolution, winding up or reorganization.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subordination provisions mean that if we are insolvent, a direct holder of a specific amount of our Senior Indebtedness may ultimately receive more of our assets than a direct holder of the same amount of Notes, and our creditor that is owed a specific amount may ultimately receive more of our assets than a direct holder of the same amount of Notes. The Subordinated Indenture does not limit our ability to incur Senior Indebtedness or general obligations, including indebtedness ranking equally with the Notes or secured debt.</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of the Notes may not accelerate the maturity of the Notes, except under specified circumstances upon an event of default. See “—Events of Default” below.</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Subordinated Indenture provides that, unless all principal of and any premium or interest on Senior Indebtedness has been paid in full, no payment or other distribution may be made in respect of any Notes under the following circumstances:</w:t>
      </w:r>
    </w:p>
    <w:p>
      <w:pPr>
        <w:spacing w:after="0" w:line="67" w:lineRule="exact"/>
        <w:rPr>
          <w:sz w:val="20"/>
          <w:szCs w:val="20"/>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insolvency or bankruptcy case or proceedings, or any receivership, liquidation, reorganization, dissolution, winding up, assignment for the benefit of creditors or other similar proceedings or events involving us or our assets;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during the continuation of any default in the payment of principal of (or premium, if any) or interest on any Senior Indebtedness beyond any applicable grace period with respect thereto, or in the event any judicial proceeding shall be pending with respect to any such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Notes have been declared due and payable before their stated maturity.</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the trustee or any holders of Notes receive any payment or distribution that is prohibited under the subordination provisions, and if this fact is made known to the trustee or holders at or prior to the time of such payment or distribution, then the trustee or the holders will have to pay over that money to us.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Further, in the event of any insolvency or bankruptcy case or proceedings, or any receivership, liquidation, reorganization, assignment for the benefit of creditors or other similar proceedings or events involving us or our assets, any creditors in respect of general obligations will be entitled to receive payment in full of all amounts due or to become due on or in respect of such general obligations, before any amount is made available for payment or distribution to the holders of the Notes.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Even if the subordination provisions prevent us from making any payment when due on the Notes, we will be in default on our obligations under the Notes if we do not make the payment when due. This means that the trustee and the holders of Notes can take action against us, but they will not receive any money until the claims of the holders of Senior Indebtedness have been fully satisfied.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Subordinated Indenture allows the holders of Senior Indebtedness to obtain a court order requiring us and any holder of Notes to comply with the subordination provisions.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Subordinated Indenture, “Senior Indebtedness” means any obligation of the Company to its creditors, whether now outstanding or subsequently incurred, other than any obligation where, in the instrument creating or evidencing the obligation or pursuant to which the obligation is outstanding, it is provided that the obligation is not Senior Indebtedness. Senior Indebtedness includes, without limitation:</w:t>
      </w:r>
    </w:p>
    <w:p>
      <w:pPr>
        <w:spacing w:after="0" w:line="81" w:lineRule="exact"/>
        <w:rPr>
          <w:sz w:val="20"/>
          <w:szCs w:val="20"/>
          <w:color w:val="auto"/>
        </w:rPr>
      </w:pPr>
    </w:p>
    <w:p>
      <w:pPr>
        <w:ind w:left="1080" w:right="2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(and premium, if any) of and interest in respect of our indebtedness for purchased or borrowed money, whether or not evidenced by securities, notes, debentures, bonds or other similar instruments issued by us, including obligations incurred in connection with the acquisition of property, assets or businesses;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lease obligations;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issued or assumed as the deferred purchase price of property, our conditional sale obligations and our obligations under any conditional sale or title retention agreement, but excluding trade accounts payable in the ordinary course of business;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arising from off-balance sheet guarantees and direct credit substitutes, including obligations in respect of any letters of credit, bankers’ acceptances, security purchase facilities and similar credit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associated with derivative products, including obligations in respect of interest rate swap, cap or other agreements, interest rate future or options contracts, currency swap agreements, currency future or option contracts and other similar agreements;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above listed obligations of other persons the payment of which we are responsible or liable for, directly or indirectly, as obligor, guarantor or otherwise;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above listed obligations of other persons secured by any lien on any of our property or assets whether or not we assume that obligation;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deferrals, renewals or extensions of any of the above listed obligations.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Senior Indebtedness does not include:</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payable arising in the ordinary course of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Pari Passu Debt and the Outstanding Floating Rate Junior Subordinated Debentures.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Company had no Senior Indebtedness outstanding on a consolidated basis.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bank holding company and substantially all of our assets are held by our direct and indirect subsidiaries. We rely on dividends and other payments or distributions from our subsidiaries to pay the interest on our debt obligations (such as the Notes offered hereby), which interest expense was $31.1 million for the year ended December 31, 2025 (holding company only). Federal and state bank regulations impose certain restrictions on the ability of the Bank to pay dividends directly or indirectly to us, to make any extensions of credit to us or certain of our affiliates and to invest in our stock or securities. These regulations also prevent us from borrowing from the Bank unless the loans are secured by collateral. Accordingly, we may not have access to sufficient cash to make payments on the Notes. See “Risk Factors” in this prospectus supplement and Item “1A. Risk Factors” of Part I of our Annual Report on Form 10-K for the fiscal year ended December 31, 2025.</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we are a bank holding company, our right and the rights of our creditors, including holders of the Notes, to participate in any distribution of assets of any of our subsidiaries upon their liquidation, reorganization, dissolution, winding up or otherwise would be subject to the prior claims of creditors of that subsidiary (except to the extent that we are a creditor with a recognized claim). In the event of any such distribution of assets of the Bank due in part to its status as an insured depository institution, the claims of depositors and other general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subordinated creditors of the Bank would be entitled to priority over claims of shareholders of the Bank, including us as its parent holding company and any creditor of ours, such as holders of the Notes. As of December 31, 2025, on a consolidated basis, the Company had $22.4 billion of deposits and other liabilities, to which the Notes will be structurally subordinated.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Amounts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any payment on the Notes is subject to withholding of any U.S. federal income tax or other tax or assessment (as a result of a change in law or otherwise), we will not pay additional amounts with respect to such tax or assessment. For a discussion relating to certain U.S. federal income tax consequences of the ownership and disposition of the Notes, see “U.S. Federal Income Tax Considerations.”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at our option, beginning with the interest payment date of        , 2031, but not prior thereto (except upon the occurrence of certain events specified below), and on any date thereafter, redeem the Notes, in whole or in part, from time to time, subject to obtaining the Federal Reserve Approval, at a price equal to 100% of the principal amount of the Notes being redeemed plus accrued and unpaid interest to, but excluding, the date of redemption.</w:t>
      </w:r>
    </w:p>
    <w:p>
      <w:pPr>
        <w:spacing w:after="0" w:line="18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Notes may not otherwise be redeemed prior to the Maturity Date, except that we may also, at our option, redeem the Notes, in whole, but not in part, subject to obtaining the Federal Reserve Approval, at a redemption price equal to 100% of the principal amount of the Notes being redeemed plus accrued and unpaid interest to, but excluding, the date of redemption, at any time, including before        , 2031, upon the occurrence of:</w:t>
      </w:r>
    </w:p>
    <w:p>
      <w:pPr>
        <w:spacing w:after="0" w:line="63" w:lineRule="exact"/>
        <w:rPr>
          <w:sz w:val="20"/>
          <w:szCs w:val="20"/>
          <w:color w:val="auto"/>
        </w:rPr>
      </w:pPr>
    </w:p>
    <w:p>
      <w:pPr>
        <w:ind w:left="1080" w:hanging="424"/>
        <w:spacing w:after="0" w:line="253"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Event,” defined in the Subordinated Indenture to mean the receipt by us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“administrative or judicial action”);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or decision or challenge is announced on or after the original issue date of the Notes, there is more than an insubstantial risk that interest payable by us on the Notes is not, or, within 90 days of the date of such opinion, will not be, deductible by us, in whole or in part, for United States federal income tax purposes;</w:t>
      </w:r>
    </w:p>
    <w:p>
      <w:pPr>
        <w:spacing w:after="0" w:line="99"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 2 Capital Event,” defined in the Subordinated Indenture to mean our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original issue date of the Notes; (b) any proposed change in those laws, rules or regulations that is announced or becomes effective after the original issue date of the Notes; or (c) any official administrative decision or judicial decision or administrative action or other official pronouncement interpreting or applying those laws, rules, regulations, policies or guidelines with respect thereto that is announced after the original issue date of the Notes, there is more than an insubstantial risk that we will not be entitled to treat the Notes then outstanding as “Tier 2 Capital” (or its equivalent) for purposes of the capital adequacy rules or regulations of the Federal Reserve (or, as and if applicable, the capital adequacy rules or regulations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any successor appropriate federal banking agency) as then in effect and applicable to us, for so long as any Notes are outstanding; or</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becoming required to register as an investment company pursuant to the 1940 Act.</w:t>
      </w:r>
    </w:p>
    <w:p>
      <w:pPr>
        <w:spacing w:after="0" w:line="225"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redemption of the Notes, we will deliver or cause to be delivered a notice of redemption (which notice may be conditional in our discretion on one or more conditions precedent, and the redemption date may be delayed until such time as any or all of such conditions have been satisfied or revoked by us if we determine that such conditions will not be satisfied) to each holder of Notes (with a copy to the trustee) not less than 10 nor more than 60 days prior to the redemption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partial redemption will be made in accordance with DTC’s applicable procedures among all of the holders of the Notes. If any Note is to be redeemed in part only, the notice of redemption relating to such Note shall state that it is a partial redemption and the portion of the principal amount thereof to be redeemed. A replacement Note in principal amount equal to the unredeemed portion thereof will be issued in the name of the holder thereof upon cancellation of the original note. The Notes are not subject to redemption or prepayment at the option of the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only “events of default” upon which the principal of the Notes may be accelerated under the Subordinated Indenture are certain events related to our bankruptcy or insolvency or certain events related to the insolvency of Renasant Bank or any banking subsidiary of ours in the future which represents 50% or more of our consolidated assets. If one of these specified events of default with respect to the Notes occurs and is continuing, the principal amount of all of the Notes shall become and be immediately due and payable without any declaration or other action on the part of the trustee or any holder of the Notes. If one of these specified events of default with respect to Notes occurs and is continuing, the trustee may enforce its rights and the rights of the holders of the Notes by any judicial proceedings that the trustee deems to be most effectual to do so.</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is no right of acceleration of the payment of principal of the Notes upon a “default” in the payment of principal of or interest on the Notes or in the performance of any of our covenants or agreements contained in the Notes, in the Subordinated Indenture or any of our other obligations or liabilities, including the events described as a “default” below. For purposes of the Notes, “default” means (1) a default in the payment of principal of the Notes when due, whether at maturity, by acceleration of maturity or otherwise, (2) a default in the payment of interest on the Notes when due, which continues for 30 days, and (3) our default in the performance, or breach, of any term, covenant or agreement in the Subordinated Indenture applicable to us and the Notes, and continuance of such default or breach for a period of 90 days after there has been given, by registered or certified mail, to us by the trustee or to us and the trustee by the holders of at least 25% in aggregate principal amount of the outstanding Notes a written notice specifying such default or breach and requiring it to be remedied and stating that such notice is a notice of default under the Subordinated Indenture. If a default in the payment of principal of or interest on the Notes occurs and is continuing under the Subordinated Indenture, the trustee and holders of Notes will have a right to institute suit directly against us for the collection of such overdue payment. Other than upon a default in the payment of principal of or interest on the Notes, the holders of the Notes will have limited rights to institute proceedings to enforce the terms of the Subordinated Indenture.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together with the trustee, may, without the consent of the holders of Notes, amend the Subordinated Indenture for one or more of the following purposes: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corporation of our covenants under the Subordinated Indenture;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and the default provisions for the benefit of the holders of Notes or to surrender any right or power conferred upon us by the Subordinated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issuance of Notes in certificated form;</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ambiguities, defects or inconsistencies, so long as the amendment does not adversely affect the interests of the holders of Notes as determined in good faith by us;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Notes, and to make any change necessary to provide for the appointment of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 series of Notes;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Subordinated Indenture that (1) neither applies to any Note of any series created prior to the execution of such supplemental indenture and entitled to the benefit of such provision nor modifies the rights of any Note holder with respect to such provision, or (2) shall become effective only when there is no such Note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guarantor with respect to the Notes;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Subordinated Indenture permits us and the trustee, with the consent of the holders of a majority in aggregate principal amount of each series of the outstanding Notes affected thereby, to modify the Subordinated Indenture in a manner affecting the rights of the holders of the Notes of such series; provided that no modification may, without the consent of the holders of the outstanding Notes affected:</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the principal of any Note or the timing of an interest payment on a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the rate of interest of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Note which would be due and payable upon a declaration of acceleration;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where, or the coin or currency in which, any Note principal or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due and payable obligation;</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of the Subordinated Indenture with respect to the subordination of the Notes in a manner adverse to the Note holders;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any series, the consent of whose holders is required for any such supplemental indenture, or the consent of whose holders is required for any waiver provided for in the Subordinated Indenture;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or waiver.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Sale of Assets and Other Transactions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will not consolidate with or merge into any other person or convey, transfer or lease all or substantially all of our properties and assets to any person, unless:</w:t>
      </w:r>
    </w:p>
    <w:p>
      <w:pPr>
        <w:spacing w:after="0" w:line="67" w:lineRule="exact"/>
        <w:rPr>
          <w:sz w:val="20"/>
          <w:szCs w:val="20"/>
          <w:color w:val="auto"/>
        </w:rPr>
      </w:pPr>
    </w:p>
    <w:p>
      <w:pPr>
        <w:ind w:left="1080" w:right="20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the surviving person or if we consolidate with or merge into another person or sell, convey, transfer or lease substantially all of our properties and assets to any person, the successor is a corporation, partnership, limited liability company or trust organized under the laws of the United States of America or any state or the District of Columbia, and the successor, if not us, expressly assumes our obligations relating to the Notes and the Subordinated Indenture;</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Subordinated Indenture are met.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general provisions of the Subordinated Indenture do not limit our rights to enter into transactions, such as a highly-leveraged transaction, that may adversely affect the holders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Subordinated Indenture provides that when, among other things, all Notes not previously delivered to the trustee for cancellation:</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and we irrevocably deposit or cause to be deposited with the trustee as trust funds in trust for such purpose money in an amount sufficient to pay and discharge the entire indebtedness on the Notes not previously delivered to the trustee for cancellation, for the principal and any premium and interest to the date of such deposit (in the case of Notes which have become due and payable) or to the Maturity Date or the date of redemption, as the case may be;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then, upon our request, the Subordinated Indenture will cease to be of further effect, and we will be deemed to have satisfied and discharged the Subordinated Indenture with respect to the Notes. However, we will continue to be obligated to pay all other sums due under the Subordinated Indenture and to provide the officers’ certificates and opinions of counsel described in the Subordinated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may at any time terminate all of our obligations under the Notes, except for certain obligations, including those respecting the defeasance trust.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obligations will be deemed to have been discharged if the following applicable conditions have been satisfied:</w:t>
      </w:r>
    </w:p>
    <w:p>
      <w:pPr>
        <w:spacing w:after="0" w:line="112" w:lineRule="exact"/>
        <w:rPr>
          <w:sz w:val="20"/>
          <w:szCs w:val="20"/>
          <w:color w:val="auto"/>
        </w:rPr>
      </w:pPr>
    </w:p>
    <w:p>
      <w:pPr>
        <w:ind w:left="1080" w:right="5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or the defeasance agent, if any, money or U.S. government obligations for the payment of principal and interest on the Notes to maturity;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then listed on any securities exchange, we have delivered to the trustee or defeasance agent an officers’ certificate to the effect that our defeasance will not cause the Notes to be delisted from such exchange;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will not result in a breach or violation, or constitute a default under, any other agreement or instrument to which we are a party;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shall have occurred and be continuing on the date of the deposit referenced above or during the period ending on the 120th day after such date;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and the defeasance agent, if any, an opinion of counsel to the effect that holders of the Notes will not recognize gain or loss for United States federal income tax purposes as a result of such defeasance and will be subject to United States federal income tax on the same amount and in the same manner and at the same times as would have been the case if such defeasance had not occurred;</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condition exists that would prevent us from making payments of the principal of or interest on the Notes on the date we deposit funds or any time during the 90 days thereafter;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set forth in the Subordinated Indenture.</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Any defeasance of the Notes pursuant to the Subordinated Indenture shall be subject to our obtaining the prior approval of the Federal Reserve and any additional requirements that the Federal Reserve may impose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respect to defeasance of the Notes. Notwithstanding the foregoing, if, due to a change in law, regulation or policy subsequent to the issue date of the Notes the Federal Reserve does not require that defeasance of instruments be subject to Federal Reserve approval in order for the instrument to be accorded Tier 2 capital treatment, then no such approval of the Federal Reserve will be required for such defeasance.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Benchmark Transition Event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Benchmark Replacement. If the calculation agent determines that a Benchmark Transition Event and its related Benchmark Replacement Date have occurred on or prior to the Reference Time in respect of any determination of the Benchmark on any date, then the Benchmark Replacement will replace the then-current Benchmark for all purposes relating to the Notes during the floating rate period in respect of such determination on such date and all determinations on all subsequent dates.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Conforming Changes. In connection with the implementation of a Benchmark Replacement, the calculation agent will have the right to make Benchmark Replacement Conforming Changes from time to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Defined Terms. As used herein:</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187" w:lineRule="exact"/>
        <w:rPr>
          <w:sz w:val="20"/>
          <w:szCs w:val="20"/>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Compounded SOFR;</w:t>
      </w:r>
    </w:p>
    <w:p>
      <w:pPr>
        <w:spacing w:after="0" w:line="225"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that has been selected or recommended by the Relevant Governmental Body as the replacement for the then-current Benchmark for the applicable Corresponding Tenor and (b) the Benchmark Replacement Adjustment;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and</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(b) the Benchmark Replacement Adjustment.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the calculation agent as of the Benchmark Replacement Date:</w:t>
      </w:r>
    </w:p>
    <w:p>
      <w:pPr>
        <w:spacing w:after="0" w:line="162" w:lineRule="exact"/>
        <w:rPr>
          <w:sz w:val="20"/>
          <w:szCs w:val="20"/>
          <w:color w:val="auto"/>
        </w:rPr>
      </w:pPr>
    </w:p>
    <w:p>
      <w:pPr>
        <w:ind w:left="120" w:right="20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then the ISDA Fallback Adjustment; and</w:t>
      </w:r>
    </w:p>
    <w:p>
      <w:pPr>
        <w:spacing w:after="0" w:line="225" w:lineRule="exact"/>
        <w:rPr>
          <w:rFonts w:ascii="Times New Roman" w:cs="Times New Roman" w:eastAsia="Times New Roman" w:hAnsi="Times New Roman"/>
          <w:sz w:val="18"/>
          <w:szCs w:val="18"/>
          <w:color w:val="auto"/>
        </w:rPr>
      </w:pPr>
    </w:p>
    <w:p>
      <w:pPr>
        <w:ind w:left="120" w:right="82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calculation agent giving due consideration to any industry-accepted spread adjustment or method for calculating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or determining such spread adjustment, for the replacement of the then-current Benchmark with the applicable Unadjusted Benchmark Replacement for U.S. dollar-denominated floating rate securities at such time.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w:t>
      </w:r>
    </w:p>
    <w:p>
      <w:pPr>
        <w:spacing w:after="0" w:line="225" w:lineRule="exact"/>
        <w:rPr>
          <w:sz w:val="20"/>
          <w:szCs w:val="20"/>
          <w:color w:val="auto"/>
        </w:rPr>
      </w:pPr>
    </w:p>
    <w:p>
      <w:pPr>
        <w:ind w:left="820" w:hanging="26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of the definition of “Benchmark Transition Event,” the relevant Reference Time in respect of any determination;</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(2) or (3)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175" w:lineRule="exact"/>
        <w:rPr>
          <w:rFonts w:ascii="Times New Roman" w:cs="Times New Roman" w:eastAsia="Times New Roman" w:hAnsi="Times New Roman"/>
          <w:sz w:val="18"/>
          <w:szCs w:val="18"/>
          <w:color w:val="auto"/>
        </w:rPr>
      </w:pPr>
    </w:p>
    <w:p>
      <w:pPr>
        <w:ind w:left="120" w:right="440" w:firstLine="43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(4) of the definition of “Benchmark Transition Event,” the date of the public statement or publication of information referenced therein.</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w:t>
      </w:r>
    </w:p>
    <w:p>
      <w:pPr>
        <w:spacing w:after="0" w:line="225" w:lineRule="exact"/>
        <w:rPr>
          <w:sz w:val="20"/>
          <w:szCs w:val="20"/>
          <w:color w:val="auto"/>
        </w:rPr>
      </w:pPr>
    </w:p>
    <w:p>
      <w:pPr>
        <w:jc w:val="both"/>
        <w:ind w:left="120" w:right="60" w:firstLine="436"/>
        <w:spacing w:after="0" w:line="261"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we determine that the use of a forward-looking rate for a tenor of three months based on SOFR is not administratively feasible;</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175" w:lineRule="exact"/>
        <w:rPr>
          <w:rFonts w:ascii="Times New Roman" w:cs="Times New Roman" w:eastAsia="Times New Roman" w:hAnsi="Times New Roman"/>
          <w:sz w:val="18"/>
          <w:szCs w:val="18"/>
          <w:color w:val="auto"/>
        </w:rPr>
      </w:pPr>
    </w:p>
    <w:p>
      <w:pPr>
        <w:ind w:left="120" w:right="180" w:firstLine="436"/>
        <w:spacing w:after="0" w:line="261"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Benchmark permanently or indefinitely, provided that, at the time of such statement or publication, there is no successor administrator that will continue to provide the Benchmark; or</w:t>
      </w:r>
    </w:p>
    <w:p>
      <w:pPr>
        <w:spacing w:after="0" w:line="162" w:lineRule="exact"/>
        <w:rPr>
          <w:sz w:val="20"/>
          <w:szCs w:val="20"/>
          <w:color w:val="auto"/>
        </w:rPr>
      </w:pPr>
    </w:p>
    <w:p>
      <w:pPr>
        <w:ind w:left="120" w:right="460" w:firstLine="43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“Compounded SOFR” means the compounded average of SOFRs for the applicable Corresponding Tenor, with the rate, or methodology for this rate, and conventions for this rate being established by the calculation agent in accordance with:</w:t>
      </w:r>
    </w:p>
    <w:p>
      <w:pPr>
        <w:spacing w:after="0" w:line="162" w:lineRule="exact"/>
        <w:rPr>
          <w:sz w:val="20"/>
          <w:szCs w:val="20"/>
          <w:color w:val="auto"/>
        </w:rPr>
      </w:pPr>
    </w:p>
    <w:p>
      <w:pPr>
        <w:ind w:left="120" w:right="68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methodology for this rate, and conventions for this rate selected or recommended by the Relevant Governmental Body for determining Compounded SOFR; provided that:</w:t>
      </w:r>
    </w:p>
    <w:p>
      <w:pPr>
        <w:spacing w:after="0" w:line="161" w:lineRule="exact"/>
        <w:rPr>
          <w:rFonts w:ascii="Times New Roman" w:cs="Times New Roman" w:eastAsia="Times New Roman" w:hAnsi="Times New Roman"/>
          <w:sz w:val="18"/>
          <w:szCs w:val="18"/>
          <w:color w:val="auto"/>
        </w:rPr>
      </w:pPr>
    </w:p>
    <w:p>
      <w:pPr>
        <w:jc w:val="both"/>
        <w:ind w:left="120" w:right="60" w:firstLine="436"/>
        <w:spacing w:after="0" w:line="266"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calculation agent determines that Compounded SOFR cannot be determined in accordance with clause (1) above, then the rate, or methodology for this rate, and conventions for this rate that have been selected by the calculation agent giving due consideration to any industry-accepted market practice for U.S. dollar-denominated floating rate securities at such time.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calculation of Compounded SOFR shall exclude the Benchmark Replacement Adjustment (if applicable) and the spread of        basis points per annum.</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“Corresponding Tenor” with respect to a Benchmark Replacement means a tenor (including overnight) having approximately the same length (disregarding business day adjustment) as the applicable tenor for the then-current Benchmark.</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“ISDA” means the International Swaps and Derivatives Association, Inc. or any successor.</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“ISDA Definitions” means the 2006 ISDA Definitions published by ISDA, as amended or supplemented from time to time, or any successor definitional booklet for interest rate derivatives published from time to time.</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6"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terms “FRBNY’s Website,” “Reference Time,” “Relevant Governmental Body,” “SOFR” and “Term SOFR” have the meanings set forth above under the heading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and Decisions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calculation agent is expressly authorized to make certain determinations, decisions and elections under the terms of the Notes, including with respect to the use of Three-Month Term SOFR as the Benchmark for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floating rate period and under the benchmark transition provisions.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any selection:</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conclusive and binding on the holders of the Notes and the trustee absent manifest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us as calculation agent, will be made in our sole discretion;</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a calculation agent other than us, will be made after consultation with us, and the calculation agent will not make any such determination, decision or election to which we reasonably object;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subordinated indenture, shall become effective without consent from the holders of the Notes, the trustee or any other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Denomination, Transfer, Exchange and Book-Entry Procedures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Notes offered hereby will be issued only in fully registered form, without interest coupons, and in minimal denominations of $1,000 and integral multiples of $1,000 in excess thereof.</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Notes offered hereby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global note will not be registered in the name of any person, or exchanged for Notes that are registered in the name of any person, other than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or its nominee, unless one of the following occurs:</w:t>
      </w:r>
    </w:p>
    <w:p>
      <w:pPr>
        <w:spacing w:after="0" w:line="112" w:lineRule="exact"/>
        <w:rPr>
          <w:sz w:val="20"/>
          <w:szCs w:val="20"/>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represented by the global note has occurred and is continuing.</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those circumstances, DTC will determine in whose names any securities issued in exchange for the global note will be registered. Any such Notes in certificated form will be issued in minimum denominations of $1,000 and multiples of $1,000 in excess thereof and may be transferred or exchanged only in such minimum denominations. DTC or its nominee will be considered the sole owner and holder of the global note for all purposes, and as a result:</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get Notes registered in your name if they are represented by the global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receive certificated (physical) notes in exchange for your beneficial interest in the global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considered to be the owner or holder of the global note or any note it represents for any purpose;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the global note will be made to DTC or its nominee.</w:t>
      </w:r>
    </w:p>
    <w:p>
      <w:pPr>
        <w:spacing w:after="0" w:line="225"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14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Only institutions (such as a securities broker or dealer) that have accounts with the DTC or its nominee (called “participants”) and persons that may hold beneficial interests through participants (including through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will make cash payments of interest on and principal of the global note to Cede, the nominee for DTC, as the registered owner of the global note. We will make these payments by wire transfer of immediately available funds on each payment date.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DTC has also advised us as follows: DTC is a limited purpose trust company organized under the laws of the State of New York, a “banking organization” within the meaning of the New York Banking Law,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and trust companies that clear through or maintain a custodial relationship with a participant, either directly or indirectly. The rules applicable to DTC and its direct and indirect participants are on file with the SEC.</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appoint a calculation agent for the Notes prior to the commencement of the floating rate period and will keep a record of such appointment at our principal offices, which will be available to any holder of the Notes upon request. In addition, we or an affiliate of ours may assume the duties of the calculation agent. We will act as the initial calculation agent. For the avoidance of doubt, if at any time there is no calculation agent appointed by us, then we shall be the calculation agent.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for the holders of Notes issued under the Subordinated Indenture is Wilmington Trust, National Association. If an event of default with respect to the Notes occurs, and is not cured, the trustee will be required to use the degree of care of a prudent person in the conduct of his or her own affairs in the exercise of its powers. Subject to the provisions of the Subordinated Indenture, the trustee will be under no obligation to exercise any of its rights or powers under the Subordinated Indenture at the request of any holders of the Notes, unless they have offered to the trustee security or indemnity satisfactory to the trustee.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Wilmington Trust, National Association, in the future, may be the trustee under other indentures pursuant to which we issue debt. Pursuant to the Trust Indenture Act of 1939, if a default occurs with respect to the securities of any series, the trustee will be required to eliminate any conflicting interest as defined in the Trust Indenture Act or resign as trustee with respect to the securities of that series within 90 days of such default, unless such default were cured, duly waived or otherwise eliminated.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will pay principal and interest on the Notes at the corporate trust office of the trustee or at the office of any paying agent that we may designate. The trustee will act as the initial paying agent.</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pay any interest on the Notes to the registered owner of the Notes at the close of business on the record date for the interest, except in the case of defaulted interest. Interest payable at maturity of the Notes will be paid to the registered holder to whom principal is payable. We may at any time designate additional paying agents or rescind the designation of any paying agent.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moneys deposited with the trustee or any paying agent, or then held by us in trust, for the payment of the principal of and interest on any Note that remains unclaimed for two years after the principal or interest has become due and payable will, at our request, be repaid to us, or (if then held by us) be discharged from such trust. After repayment to us, you are entitled to seek payment only from us as a unsecured general creditor.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Subordinated Indenture and the Notes are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of the acquisition, ownership and disposition of the Notes acquired pursuant to this offering. This summary is based upon the provisions of the Internal Revenue Code of 1986, as amended (the “Code”), applicable U.S. Treasury Regulations promulgated thereunder, judicial authorities and administrative interpretations, in each case as of the date of this prospectus supplement, all of which are subject to change or different interpretations, possibly with retroactive effect, which could alter the U.S. federal income tax considerations described below. We do not undertake, and specifically disclaim, any obligations to update the summary as a result of changes in applicable laws and regulations. We cannot assure you that the U.S. Internal Revenue Service (the “IRS”) will not challenge one or more of the tax consequences described in this discussion, or that a court would not sustain positions contrary to those described in this summary, and we have not obtained, nor do we intend to obtain, a ruling from the IRS or an opinion of counsel with respect to the U.S. federal income tax consequences of acquiring, owning or disposing of the Notes.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holders that purchase Notes for cash in this offering at their “issue price” (which is the first price at which a substantial amount of the Notes is sold for cash to investors other than to bond houses, brokers or similar persons or organizations acting in the capacity of underwriters, placement agents or wholesalers) and that hold the Notes as capital assets (generally, property held for investment). Moreover, this discussion does not address the effect of the alternative minimum tax, the Medicare tax on investment income, state, local or non-U.S. tax laws or the application of any U.S. federal taxes other than U.S. federal income taxes (such as U.S. federal estate or gift taxes).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thrifts and other financial institutions, insurance companies, tax-exempt entities, dealers in securities or foreign currency, real estate investment trusts, regulated investment companies, traders in securities that have elected the mark-to-market method of accounting for their securities, U.S. Holders (as defined below) whose “functional currency” is not the U.S. dollar, U.S. Holders that hold Notes through non-U.S. brokers or other non-U.S. intermediaries, persons required to accelerate the recognition of any item of income as a result of such income being included on an applicable financial statement, U.S. expatriates and former long-term residents of the United States, persons that hold the Notes as part of a hedge, wash sale, conversion transaction, straddle or other risk reduction transaction, or entities or arrangements classified as partnerships or S corporations for U.S. federal income tax purposes or other pass-through entities (and owners of such entities).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any entity or arrangement that is treated as a partnership for U.S. federal income tax purposes is a holder of Notes, the U.S. federal income tax treatment of a partner in the partnership generally will depend upon the status of the partner and the activities of the partnership. If you are a partnership or a partner in a partnership considering an investment in the Notes, you should consult your own tax advisor about the tax consequences of acquiring, owning and disposing of the Notes.</w:t>
      </w:r>
    </w:p>
    <w:p>
      <w:pPr>
        <w:spacing w:after="0" w:line="176"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of certain U.S. federal income tax considerations is for general information only and is not tax advice. You are urged to consult your tax advisor with respect to the application of U.S. federal income tax laws to your particular situation as well as any tax considerations arising under other U.S. federal tax laws (such as the estate or gift tax laws) or under the laws of any state, local, foreign, or other taxing jurisdiction or under any applicable tax treaty.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subsection describes the material United States federal income tax considerations for a “U.S. Holder.” You are a U.S. Holder for purposes of this discussion if you are a beneficial owner of a Note and, for U.S. federal income tax purposes, you are:</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United States persons (as defined under the Code) have the authority to control all substantial decisions of the trust or (2) the trust has a valid election in effect under applicable U.S.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Original Issue Discount</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taxation of U.S. Holders of the Notes depends in part on whether the Notes qualify as “variable rate debt instruments” for U.S. federal income tax purposes. Under applicable Treasury Regulations, a debt instrument will qualify as a “variable rate debt instrument” if (1) its issue price does not exceed the total noncontingent principal payments due under the debt instrument by more than a specified de minimis amount, (2) the debt instrument provides for stated interest, paid or compounded at least annually, at current values of a single fixed rate and one or more qualified floating rates, and</w:t>
      </w:r>
    </w:p>
    <w:p>
      <w:pPr>
        <w:spacing w:after="0" w:line="3" w:lineRule="exact"/>
        <w:rPr>
          <w:sz w:val="20"/>
          <w:szCs w:val="20"/>
          <w:color w:val="auto"/>
        </w:rPr>
      </w:pPr>
    </w:p>
    <w:p>
      <w:pPr>
        <w:ind w:left="120" w:right="200" w:hanging="4"/>
        <w:spacing w:after="0" w:line="253"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instrument does not provide for any principal payments that are contingent (within the meaning of the Treasury Regulations). A “qualified floating rate” is any variable rate where variations in the value of such rate can reasonably be expected to measure contemporaneous variations in the cost of newly borrowed funds in the currency in which the debt instrument is denominated. We expect that the Notes will meet the requirements for being variable rate debt instruments.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this characterization, payments treated as qualified stated interest (“QSI”) on the Notes generally will be taxable to you as ordinary income at the time such QSI is received or accrued in accordance with your regular method of accounting for U.S. federal income tax purposes. QSI generally means stated interest that is unconditionally payable in cash at least annually at a single fixed rate, but as discussed below, special rules are applicable to variable rate debt instruments.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treated as issued with original issue discount (“OID”) for U.S. federal income tax purposes if the issue price of the Notes is less than the stated redemption price at maturity by more than a de minimis amount. The stated redemption price at maturity for the Notes is the sum of</w:t>
      </w:r>
    </w:p>
    <w:p>
      <w:pPr>
        <w:ind w:left="120" w:right="20" w:hanging="4"/>
        <w:spacing w:after="0" w:line="252" w:lineRule="auto"/>
        <w:tabs>
          <w:tab w:leader="none" w:pos="3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and (2) any interest on the Notes that is not QSI. The issue price of debt instruments equals the first price at which a substantial amount of the debt instruments has been sold (ignoring sales to bond houses, brokers or similar persons or organizations acting in the capacity of underwriters, placement agents or wholesalers). If the Notes are issued with OID, a U.S. Holder generally must include such OID in taxable income (as ordinary income) as such OID accrues in accordance with a constant yield method based on a compounding of interest, regardless of the U.S. Holder’s regular method of accounting for U.S. federal income tax purposes. Thus, a U.S. Holder generally will be required to include OID in income in advance of the receipt of the cash to which such OID is attributable.</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Treasury Regulations, to determine the amount of QSI and OID in respect of a variable rate debt instrument, an “equivalent fixed rate debt instrument” must be constructed. The equivalent fixed rate debt instrument of a variable rate debt instrument that has an initial fixed rate followed by one or more qualified floating rates, such as a Note, is constructed as follows: (1) first, the initial fixed rate is replaced with a qualified floating rate such that the fair market value of a Note as of the Note’s issue date would be approximately the same as the fair market value of an otherwise identical debt instrument that provides for the replacement qualified floating rate rather than the fixed rate; and (2) second, each floating rate (including the floating rate determined under clause (1) of this paragraph) is converted into a fixed rate substitute (which, in each case, generally will be the value of each floating rate as of the issue date of the Notes). When the equivalent fixed rate debt instrument has been constructed pursuant to the foregoing rules, the amount of QSI and OID, if any, are determined for the equivalent fixed rate debt instrument by applying the general OID rules to the equivalent fixed rate debt instrument, and a U.S. Holder of Notes will account for such OID, if any, and QSI as if the U.S. Holder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held the equivalent fixed rate debt instrument. For each accrual period, appropriate adjustments will be made to the amount of QSI or OID assumed to have been accrued or paid with respect to the equivalent fixed rate debt instrument in the event that such amounts differ from the actual amount of interest accrued or paid on the Notes during the accrual period.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Treasury Regulations provide special rules for determining the yield and maturity of a debt instrument, such as the Notes, that provide an issuer with the option to redeem the instrument at specified times. The Treasury Regulations generally deem an issuer to exercise a redemption option in a manner that minimizes the yield on the debt instrument for purposes of determining whether a debt instrument is issued with OID, utilizing the equivalent fixed rate debt instrument rules set forth in the preceding paragraph.</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Accordingly, solely for purposes of determining QSI and OID through the application of the rules described above, as of the issue date of the Notes, if the Notes are presumed to remain outstanding until maturity, and all interest on the Notes is treated as QSI, then the Notes will not be treated as having been issued with any OID.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generally will recognize capital gain or loss on a sale, redemption, exchange, retirement or other taxable disposition of a Note equal to the difference, if any, between (1) the amount realized on such disposition (excluding amounts attributable to any accrued but unpaid interest, which will generally be taxable as ordinary income to the extent you have not previously included such amounts in income) and (2) your adjusted tax basis in the Note. The amount realized will equal the sum of any cash and the fair market value of any other property received on the disposition. Your adjusted tax basis in a Note generally will equal the amount you paid for the Note, increased by any OID previously included in your gross income with respect to the Note (including OID accrued in the year of the sale or other disposition), less any payment (other than QSI) made on the Note. Any such gain or loss will be long-term capital gain or loss if you held the Note for more than one year at the time of the disposition. Long-term capital gains of non-corporate U.S. Holders generally are eligible for reduced rates of taxation. The deductibility of capital losses is subject to limitations.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Payments of stated interest which is QSI, accruals of OID and the proceeds of a disposition (including a retirement or redemption) of Notes may be reported to the IRS. These information reporting requirements, however, do not apply with respect to certain exempt U.S. Holders, such as corporations.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Backup withholding (currently at a rate of 24%) may apply to payments of the foregoing amounts, unless you provide the applicable withholding agent with your taxpayer identification number, certified under penalties of perjury, as well as certain other information, or otherwise establish an exemption from backup withholding. Backup withholding will also apply if a U.S. Holder is notified by the IRS that the U.S. Holder is subject to backup withholding because of its failure to report payment of interest and dividends properly, or if the U.S. Holder otherwise fails to comply with the applicable backup withholding rules.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your U.S. federal income tax liability, if any, and may entitle you to a refund,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subsection describes the material United States federal income tax considerations for a “Non-U.S. Holder.” You are a “Non-U.S. Holder” for purposes of this discussion if you are a beneficial owner of a Note and you are, for U.S. federal income tax purposes:</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in either case is not subject to United Sates federal income tax on a net income basis on income or gain from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the headings “—Information Reporting and Backup Withholding” and “The Foreign Account Tax Compliance Act,” payments of interest (which, for purposes of this discussion of Non-U.S. Holders, shall include any OID) on the Notes generally will be exempt from U.S. federal income and withholding tax under the “portfolio interest” exemption if you properly certify as to your Non-U.S. Holder status, as described below, and:</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stock entitled to vote;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for U.S. federal income tax purposes that is related to us;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 (and, if required by an applicable income tax treaty, attributable to a U.S. permanent establishment or fixed base maintained by you).</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portfolio interest exemption applies only if you appropriately certify as to your Non-U.S. Holder status. You generally can meet this certification requirement by providing a properly executed IRS Form W-8BEN or W-8BEN-E, as applicable (or appropriate substitute or successor form) to the applicable withholding agent. If you hold the Notes through a financial institution or other agent acting on your behalf, you may be required to provide appropriate certifications to your agent. Your agent then generally will be required to provide appropriate certifications to the applicable withholding agent, either directly or through other intermediaries.</w:t>
      </w:r>
    </w:p>
    <w:p>
      <w:pPr>
        <w:spacing w:after="0" w:line="7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withholding tax, currently at a 30% rate, unless (1) you provide the applicable withholding agent with a properly executed IRS Form W-8BEN or W-8BEN-E, as applicable (or appropriate substitute or successor form) claiming an exemption from (or a reduction of) withholding under an applicable United States income tax treaty or (2) the payments of interest are effectively connected with your conduct of a trade or business in the United States (and, if required by an applicable United States income tax treaty, attributable to a U.S. permanent establishment or fixed base maintained by you) and you meet the certification requirements described below (see “—Income or Gain Effectively Connected with a U.S. Trade or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the headings “—Information Reporting and Backup Withholding” and “The Foreign Account Tax Compliance Act,” you generally will not be subject to U.S. federal income or withholding tax on any gain realized on a sale, redemption, exchange, retirement or other taxable disposition of a Note (other than amounts attributable to accrued and unpaid interest, which will be treated as described above under “—Interest on the Notes”) unless:</w:t>
      </w:r>
    </w:p>
    <w:p>
      <w:pPr>
        <w:spacing w:after="0" w:line="8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you of a U.S. trade or business;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the disposition and certain other requirements are met.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U.S. federal income tax as described below (see “—Income or Gain Effectively Connected with a U.S. Trade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Business”). If you are a Non-U.S. Holder described in the second bullet point above, you generally will be subject to U.S. federal income tax at a 30% rate (or a lower rate if a United States income tax treaty applies) on the gain derived from the sale, redemption, exchange, retirement or other taxable disposition, which may be offset by certain U.S.-source capital losses, unless an applicable United States income tax treaty provides otherwise.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any interest on the Notes or gain from a sale, redemption, exchange, retirement or other taxable disposition of the Notes is effectively connected with a U.S. trade or business conducted by you (and, if required by an applicable United States income tax treaty, attributable to a permanent establishment or fixed base maintained by you), then you generally will be subject to U.S. federal income tax on such interest or gain on a net income basis in the same manner as a U.S. Holder (unless an applicable income tax treaty provides otherwise). If interest received with respect to the Notes is effectively connected income (and, if required by an applicable United States income tax treaty, attributable to a permanent establishment or fixed base maintained by you), the U.S. federal withholding tax described above will not apply (assuming an appropriate certification is provided) unless an applicable United States income tax treaty provides otherwise. You generally can meet the certification requirements by providing a properly executed IRS Form W-8ECI (or other applicable form) to the applicable withholding agent. In addition, if you are a corporation for U.S. federal income tax purposes, that portion of your earnings and profits that is attributable to such effectively connected income or gain, subject to certain adjustments, may be subject to a “branch profits tax” at a 30% rate (or a lower rate if a United States income tax treaty applies).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may also be made available to the tax authorities of the country in which you are a tax resident under the provisions of an applicable income tax treaty or agreement. Backup withholding (currently at a rate of 24%) generally will not apply to payments of interest on a Note to a Non-U.S. Holder if the certification described in “—Interest on the Notes” above is provided by the Non-U.S. Holder, or the Non-U.S. Holder otherwise establishes an exemption.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Proceeds from a disposition (including a retirement or redemption) of a Note effected by the U.S. office of a U.S. or non-U.S. broker will be subject to information reporting requirements and backup withholding unless you properly certify, under penalties of perjury, as to your non-U.S. status and certain other conditions are met, or you otherwise establish an exemption. Information reporting and backup withholding generally will not apply to any proceeds from a disposition of a Note effected outside the United States by a non-U.S. office of a broker, unless such broker has certain connections to the United States, in which case information reporting, but not backup withholding, will apply unless the broker has documentary evidence in its records that you are a Non-U.S. Holder and certain other conditions are met, or you otherwise establish an exemption.</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your U.S. federal income tax liability, if any, and may entitle you to a refund,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Foreign Account Tax Compliance Act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Foreign Account Tax Compliance Act (“FATCA”) imposes a U.S. federal withholding tax (separate and apart from, but without duplication of, the withholding tax described above) at a rate of 30% on payments of interest on, and the gross proceeds from a disposition (including a retirement or redemption) of, a debt instrument paid to certain non-U.S. entities, including (1) certain foreign financial institutions and investment funds (including, in some instances, where such an entity is acting as an intermediary) that do not comply with certain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withholding and reporting requirements regarding U.S. account holders and (2) certain non-financial foreign entities that do not provide sufficient documentation evidencing either an exemption from FATCA or adequate information regarding substantial U.S. owners of such entity. However, notwithstanding the preceding sentence, pursuant to proposed U.S. Treasury Regulations (upon which taxpayers are permitted to rely until final U.S. Treasury Regulations are issued), this withholding tax generally will not apply to the gross proceeds from a sale or other disposition of instruments, such as the Notes, that produce U.S. source interest. Foreign financial institutions located in jurisdictions that have an intergovernmental agreement with the United States with respect to these rules may be subject to different rules. Under certain circumstances, a beneficial owner of Notes may be eligible for a refund or credit of such taxes. Prospective purchasers of the Notes should consult their own tax advisors regarding these withholding and reporting provisions.</w:t>
      </w:r>
    </w:p>
    <w:p>
      <w:pPr>
        <w:spacing w:after="0" w:line="188" w:lineRule="exact"/>
        <w:rPr>
          <w:sz w:val="20"/>
          <w:szCs w:val="20"/>
          <w:color w:val="auto"/>
        </w:rPr>
      </w:pPr>
    </w:p>
    <w:p>
      <w:pPr>
        <w:jc w:val="both"/>
        <w:ind w:left="120"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acquiring, owning and disposing of the Notes, including the consequences of any proposed change in applicable laws.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BENEFIT PLAN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Employee Retirement Income Security Act of 1974, as amended (“ERISA”), imposes certain requirements on employee benefit plans that are subject to Part 4 of Subtitle B of Title I of ERISA (“ERISA Plans”), and Section 4975 of the Code also imposes certain requirements on ERISA Plans, as well as on individual retirement accounts (“IRAs”), Keogh plans or other plans and arrangements subject to Section 4975 of the Code. Entities (including certain insurance company general accounts) with underlying assets deemed to be “plan assets” (as defined in U.S. Department of Labor regulation 29 C.F.R. Section 2510.3-101, as modified by Section 3(42) of ERISA (the “Plan Asset Regulations”)) by reason of any such plan’s or arrangement’s investments are also subject to these requirements under Part 4 of Subtitle B of Tile I of ERISA and Section 4975 of the Code. We refer to all of the foregoing in this paragraph collectively as “Plans.”</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Employee benefit plans sponsored by a governmental agency or certain churches and certain non-U.S. plans (“Non-ERISA Arrangements”) are not subject to Part 4 of Subtitle B of Title I of ERISA or Section 4975 of the Code, but such plans may be subject to laws that are substantially similar (each, a “Similar Law”).</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aspects of ERISA, the Code and Similar Laws that may affect the decision by a Plan or Non-ERISA Arrangement to invest in the Notes, is general in nature, and is not intended to be a complete discussion of applicable laws and regulations pertaining to an investment in the Notes by a Plan or Non-ERISA Arrangement. The following discussion is not intended to be legal or investment advice. It is based on applicable law and regulations in effect as of the date of this prospectus supplement; we do not undertake, and specifically disclaim, any obligation to update this summary as a result of changes in applicable law or regulations. Fiduciaries of Plans and Non-ERISA Arrangements should consult their own legal counsel before investing in the Notes. References herein to the purchase, holding or disposition of Notes also refer to the purchase, holding or disposition of any beneficial interest in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Fiduciary Considerations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Before investing in the Notes, the fiduciary of an ERISA Plan should consider whether an investment will satisfy the applicable requirements set forth in Part 4 of Subtitle B of Title I of ERISA, including, among other things, whether, to the extent applicable, the investment:</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satisfy the prudence and diversification standards of ERISA;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made solely in the interests of the participants and beneficiaries of the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permissible under the terms of the Plan and its investment policies and other governing instruments;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the exclusive purpose of providing benefits to the participants and beneficiaries of the Plan and defraying the reasonable expenses of administering such Plan.</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responsible fiduciary of a Plan should consider all relevant facts and circumstances, including, as applicable, the limitations imposed on transferability, whether the Notes will provide sufficient liquidity in light of the foreseeable needs of the Plan, that the Notes are unsecured and subordinated, and the tax consequences of the investment. The fiduciary of a Non-ERISA Arrangement should consider whether an investment in the Notes satisfies its obligations imposed under Similar Laws and whether an investment is consistent with the terms of the governing instruments of the Non-ERISA Arrangement. Neither we, any of the underwriters, nor any of our or their affiliates, representatives or agents are offering investment advice nor will we provide advice in a fiduciary capacity to any Plan with respect to an investment in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Section 406 of ERISA and Section 4975 of the Code may prohibit certain transactions involving the assets of a Plan and those persons who have specified relationships with the Plan, called “parties in interest” under ERISA and “disqualified persons” under Section 4975 of the Code (collectively, “parties in interest”), unless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relief is available under an applicable statutory, regulatory or administrative exemption. Parties in interest who engage in a nonexempt prohibited transaction may be subject to excise taxes, and parties in interest and fiduciaries may be subject to other liabilities. In addition, a nonexempt prohibited transaction may be subject to rescission.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fiduciary of a Plan who permits the Plan to engage in a transaction that the fiduciary knows or should know is a prohibited transaction may be liable to the Plan for any loss the Plan incurs as a result of the transaction, for any profits the fiduciary earn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 the transaction, and for excise taxes. Parties in interest acting on behalf of an IRA that engages in a non-exempt prohibited transaction may cause the IRA to lose its tax-exempt status. In that event, its assets will be deemed to be distributed in the form of a taxable distribution. Similar Law may include prohibitions applicable to Non-ERISA Arrangements that are similar to the prohibited transaction rules contained in ERISA and the Code. A fiduciary considering an investment in the Notes should consider whether the investment, including the holding or disposition of the Notes, may constitute or give rise to a prohibited transaction for which an exemption is not available.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Look-Through</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Plan Asset Regulations provide that the assets of an entity may be deemed assets of a Plan by reason of that Plan’s investment in equity interests of the entity (so-called “Plan look-through”) unless an exemption under the Plan Assets Regulations applies. If our assets were deemed to be assets of a Plan that purchased Notes, among other things, the provisions of ERISA and Section 4975 of the Code that apply to the Plan would apply to transactions in which we engage. There will not be Plan look-through if the investment by Plans is in a form other than an equity interest. Under the Plan Asset Regulations, an equity interest is defined to mean any interest in an entity other than an instrument that is treated as indebtedness under applicable local law and which has no substantial equity features. Purchasers should consult their own legal counsel to determine whether the Notes will be treated as indebtedness with no substantial equity features for purposes of the Plan Asset Regulations.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Without regard to whether the Notes may cause our assets to be treated as plan assets under the Plan Asset Regulations, we, the underwriters, and our or the underwriters’ respective current and future affiliates may be parties in interest with respect to many Plans, and the purchase, holding or disposition of the Notes by, on behalf of, or with the assets of, any such Plan could give rise to a prohibited transaction under ERISA or the Code. For example, a purchase of the Notes may be deemed to represent a direct or indirect sale of property, extension of credit or furnishing of services between us and an investing Plan, which would be prohibited if we are a party in interest with respect to the Plan unless exemptive relief is available.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prospective purchaser that is, or is acting on behalf of, or with the assets of, a Plan should consider the potential applicability of certain exemptive relief under administrative exemptions issued by the U.S. Department of Labor, which include, but are not limited to, the following prohibited transaction class exemptions, or PTCEs: (a) the in-house asset manager exemption (PTCE 96-23); (b) the insurance company general account exemption (PTCE 95-60); (c) the bank collective investment fund exemption (PTCE 91-38); (d) the insurance company pooled separate account exemption (PTCE 90-1); and (e) the qualified professional asset manager exemption (PTCE 84-14). In addition, ERISA Section 408(b)(17) and Section 4975(d)(20) of the Code may provide limited exemptive relief for certain transactions with a party in interest , provided that neither the party in interest nor certain of its affiliates have or exercise any discretionary authority or control over, or render any investment advice with respect to, the assets of the Plan involved in the transaction, and provided further that the Plan pays no more, and receives no less than, adequate consideration (as defined in the exemption) in connection with the transaction (the so-called “service provider exemption”). There can be no assurance, however, that any of these or any other administrative or statutory exemptions will be available with respect to any or all otherwise prohibited transactions involving an investment in the Notes with respect to a particular Plan. Purchasers should consult their own legal counsel to determine whether any investment will constitute a prohibited transaction and, if so, whether exemptive relief is available.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Obligations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purchaser or holder of a Note, including each fiduciary who causes an entity to purchase or hold a Note, shall be deemed to have represented and warranted on each day such purchaser or holder holds such Note that:</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neither a Plan nor a Non-ERISA Arrangement, and it is not purchasing or holding the Note on behalf of, or with the assets of, any Plan or Non-ERISA Arrangement; or</w:t>
      </w:r>
    </w:p>
    <w:p>
      <w:pPr>
        <w:spacing w:after="0" w:line="67"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either a Plan or a Non-ERISA Arrangement and its purchase, holding and subsequent disposition of the Note will not constitute or result in (a) a non-exempt prohibited transaction under Section 406 of ERISA, Section 4975 of the Code or any provision of Similar Law, or (b) a breach of fiduciary or other duty or applicable law.</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Each purchaser or holder of a Note that is, including each fiduciary who causes an entity to purchase or hold a Note with, assets of an Plan or Non-ERISA Arrangement, will be deemed to have represented and warranted at all times in its corporate and its fiduciary capacity, by its purchase and holding of the Note that neither we, nor the underwriters, nor any of our or their affiliates is or will become a fiduciary to any Plan with respect to the purchaser or holder’s acquisition, holding, sale or exchange, unless a statutory or administrative exemption applies (all of the applicable conditions of which are satisfied) or the transaction is not otherwise prohibited.</w:t>
      </w:r>
    </w:p>
    <w:p>
      <w:pPr>
        <w:spacing w:after="0" w:line="183"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Each purchaser or holder of a Note will have exclusive responsibility for ensuring that its purchase, holding and subsequent disposition of the Note does not violate ERISA, the Code or any Similar Law. Nothing contained herein shall be construed as legal or investment advice, or a representation that an investment in the Notes would meet any or all of the relevant legal requirements with respect to investments by, or that an investment in the Notes is appropriate or advisable for, Plans or Non-ERISA Arrangements, whether generally or as to any particular Plan or Non-ERISA Arrangement.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an underwriting agreement, dated      , 2026 (the “Underwriting Agreement”), with Keefe, Bruyette &amp; Woods, Inc. and Stephens Inc., as representatives of the several underwriters named below (collectively, the “underwriters”), with respect to the Notes. Subject to certain conditions, the underwriters have agreed to purchase the aggregate principal amount of Notes set forth next to its name in the following table.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740" w:type="dxa"/>
            <w:vAlign w:val="bottom"/>
            <w:vMerge w:val="restart"/>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left="7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Keefe, Bruyette &amp; Woods,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offered hereby are subject to certain conditions precedent and that the underwriters will purchase all of the Notes if any of the Notes are purchased.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Notes sold by the underwriters to the public will be offered at the public offering price set forth on the cover of this prospectus supplement. The underwriters may offer the Notes to selected dealers at the public offering price set forth on the cover of this prospectus supplement less a concession not in excess of   % of the principal amount per note. After the initial offering, the underwriters may change the offering price and the other selling terms. The offering of the Notes by the underwriters is subject to receipt and acceptance and subject to the underwriters’ right to reject any order in whole or in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Commission and Expenses</w:t>
      </w:r>
    </w:p>
    <w:p>
      <w:pPr>
        <w:spacing w:after="0" w:line="121"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shows the public offering price, the underwriting discounts and commissions that we are to pay the underwriters and the proceeds, before expenses, to us in connection with this offering (expressed as a percentage of the principal amount of the Notes offered hereby):</w:t>
      </w:r>
    </w:p>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Subordinated</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in each case, underwriting discounts and commissions, will be approximately $      . This estimate reflects that we may reimburse the underwriters for certain of their reasonable out-of-pocket expenses incurred in connection with their engagement as underwriters, including certain expenses attributable to legal fees and marketing, syndication and travel in an aggregate amount not to exceed $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and hold harmless each underwriter, their respective affiliates (as such term is defined in Rule 405 promulgated under the Securities Act, partners, directors, officers, employees and agents and each person, if any, who controls (within the meaning of Section 15 of the Securities Act or Section 20 of the Exchange Act) any underwriter, against certain losses and liabilities, including liabilities under the Securities Act and to contribute to payments that the underwriters may be required to make in respect of these liabilities.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Public Trading Markets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public trading market for the Notes. In addition, we have not applied and do not intend to apply to list the Notes on any national securities exchange or to have the Notes quoted on an automated dealer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quotation system. The underwriters have advised us that they intend to make a market in the Notes. However, the underwriters are not obligated to do so and may discontinue any market-making in the Notes at any time in their sole discretion and without prior notice. Therefore, we cannot assure you that a liquid trading market for the Notes will develop or continue, that you will be able to sell your Notes at a particular time, or that the price that you receive when you sell will be favorable.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the underwriters that between the date of the Underwriting Agreement and the issue date, we and our subsidiaries will not, without the prior consent of Keefe, Bruyette &amp; Woods, Inc. and Stephens Inc., directly or indirectly, issue, offer or sell, or enter into any agreement to sell, any debt securities (excluding deposit obligations) of ours or of our subsidiaries, other than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of the Notes, the underwriters may engage in overallotment, stabilizing transactions and syndicate covering transactions. Overallotment involves sales in excess of the offering size, which create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such activities at any time without notice.</w:t>
      </w:r>
    </w:p>
    <w:p>
      <w:pPr>
        <w:spacing w:after="0" w:line="17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websites or through other online services maintained by the underwriters or their affiliates.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supplement and the accompanying prospectus in electronic format, information on such websites and any information contained in any other website maintained by any of the underwriters or their affiliates is not part of this prospectus supplement or our registration statement of which the related prospectus forms a part, has not been approved or endorsed by us or the underwriters in their capacity as underwriters and should not be relied on by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Relationships with the Underwriters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have engaged, or may in the future engage, in investment banking transactions, lending transactions and other commercial dealings in the ordinary course of business with us or our affiliates. The underwriters have received, or may in the future receive, customary fees and commissions for these transactions.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underwriters and their affiliates may make or hold a broad array of investments and actively trade indebtedness and equity securities (or related derivative securities) and financial instruments (including bank loans) for their own accounts and for the accounts of their customers. Such investments and securities activities may involve securities and/or instruments of ours or our affiliates. The underwriters and their affiliates may also make investment recommendations and/or publish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by merger of The First and a related equity offering, Stephens Inc. acted as a financial advisor to the Company and Keefe, Bruyette &amp; Woods, Inc. acted as a financial advisor to The First. Keefe, Bruyette &amp; Woods, Inc. and Stephens Inc. are underwriters in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Alternative Settlement Cycle and Other Matters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in which action for that purpose is required. The Notes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We and the underwriters require that the persons into whose possession this prospectus supplement comes inform themselves about, and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 2026, which will be the      business day following the date hereof (such settlement being referred to as “T+  ”). Under Rule 15c6-1 of the Exchange Act, trades in the secondary market generally are required to settle in one business day, unless the parties to any such trade expressly agree otherwise. Accordingly, purchasers who wish to trade the Notes prior to the business day before delivery of the Notes will be required, by virtue of the fact that the Notes initially settle in T+      , to specify an alternate settlement arrangement at the time of any such trade to prevent a failed settlement. Purchasers of the Notes who wish to trade the Notes prior to their date of delivery hereunder should consult their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offer of the Notes to the public has been or will be made in that Member State, except that offers of the Notes to the public may be made in that Member State at any time under the following exemptions under the Prospectus Regulation:</w:t>
      </w:r>
    </w:p>
    <w:p>
      <w:pPr>
        <w:spacing w:after="0" w:line="8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us or the underwriters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 above provisions, the expression “an offer of Notes to the public” in relation to any Notes in any Member State means the communication in any form and by any means of sufficient information on the terms of the offer and any Notes to be offered so as to enable an investor to decide to purchase or subscribe for any Notes, and the expression “Prospectus Regulation” means Regulation (EU) 2017/1129.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This document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referred to herein as the Order, and/or (ii) high net worth entities falling within Article 49(2) (a) to (d) of the Order and other persons to whom it may lawfully be communicated. Each such person is referred to herein as a Relevant Person.</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United Kingdom, any investment or investment activity to which this prospectus supplement relates is available only to Relevant Persons and will only be engaged with Relevant Persons.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Notes offered by this prospectus supplement will be passed upon for us by Phelps Dunbar LLP, New Orleans, Louisiana. Certain legal matters in connection with this offering will be passed upon for the underwriters by Skadden, Arps, Slate, Meagher &amp; Flom LLP, New York, New York.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Renasant Corporation as of December 31, 2025 and 2024, and for each of the years in the three year period ended December 31, 2025, and management’s assessment of the effectiveness of Renasant Corporation’s internal control over financial reporting as of December 31, 2025, included in our Annual Report on Form 10-K for the year ending December 31, 2025, have been incorporated by reference into this prospectus supplement and the accompanying prospectus in reliance upon the reports of BDO USA, P.C. (formerly Horne LLP), an independent registered public accounting firm, which express an unqualified opinion on the financial statements and an adverse opinion on the effectiveness of the Company’s internal control over financial reporting, incorporated by reference herein, and upon the authority of said firm as experts in accounting and auditing.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97155</wp:posOffset>
            </wp:positionV>
            <wp:extent cx="2520315" cy="763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5203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Renasant Corporation may offer and sell, from time to time, in one or more offerings, together or separately, common stock, preferred stock, depositary shares, debt securities, rights, warrants and units and hybrid securities combining elements of the foregoing.</w:t>
      </w:r>
    </w:p>
    <w:p>
      <w:pPr>
        <w:spacing w:after="0" w:line="5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We will offer the securities in amounts, at prices and on terms to be determined by market conditions at the time of the offering. We will provide by supplements to this prospectus the specific terms and manner of offering of the securities that we actually offer. These prospectus supplements may also add, update or change information contained in this prospectus. You should carefully read this prospectus, the information incorporated by reference in this prospectus, the applicable prospectus supplement, including any information incorporated by reference therein, and any free writing prospectus before you invest in the securities described in the applicable prospectus supplement. This prospectus may not be used to sell securities unless accompanied by a prospectus supplement that describes the terms and manner of offering of those securities.</w:t>
      </w:r>
    </w:p>
    <w:p>
      <w:pPr>
        <w:spacing w:after="0" w:line="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directly or through one or more underwriters, dealers and agents, directly to purchasers or through a combination of these methods, on a continuous or delayed basis. If an offering of securities involves any underwriters, dealers or agents, then the prospectus supplement will name the underwriters, dealers or agents and will provide information regarding any fee, commission or discount arrangements made with those underwriters, dealers or agents as well as any over-allotment option we may agree to with the underwriters. Net proceeds from the sale of securities will be set forth in the applicable prospectus supplement.</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“RNST.” On January 31, 2025, the last sales price on the NYSE for our common stock was $38.88. You are urged to obtain current market prices for our common stock. None of the other securities that may be offered pursuant to this prospectus are listed on an exchange. If we decide to list or seek a quotation for any other securities, the prospectus supplement relating to those securities will disclose the exchange or market on which such securities will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refer to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included in the applicable prospectus supplement and in our periodic reports and other information we file with the Securities and Exchange Commission and carefully consider that information before investing in any of these securities.</w:t>
      </w:r>
    </w:p>
    <w:p>
      <w:pPr>
        <w:spacing w:after="0" w:line="6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any state securities commission, the Federal Deposit Insurance Corporation, the Board of Governors of the Federal Reserve System nor any other regulatory body has approved or disapproved of these securities or passed upon the adequacy or accuracy of this prospectus. Any representation to the contrary is a criminal offense.</w:t>
      </w:r>
    </w:p>
    <w:p>
      <w:pPr>
        <w:spacing w:after="0" w:line="6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These securities will be our equity and debt securities, will not be deposits, savings accounts or other obligations of any bank, and will not be insured by the Federal Deposit Insurance Corporation or any other governmental agency or instrumentality.</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209 Troy Street, Tupelo, Mississippi 38804-4827, and the telephone number at that location is (662) 680-1001.</w:t>
      </w:r>
    </w:p>
    <w:p>
      <w:pPr>
        <w:spacing w:after="0" w:line="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This prospectus is dated February 11, 2025.</w:t>
      </w:r>
    </w:p>
    <w:p>
      <w:pPr>
        <w:sectPr>
          <w:pgSz w:w="11900" w:h="16838" w:orient="portrait"/>
          <w:cols w:equalWidth="0" w:num="1">
            <w:col w:w="11100"/>
          </w:cols>
          <w:pgMar w:left="320" w:top="455" w:right="4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2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1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RENASANT CORPORATION</w:t>
            </w:r>
          </w:p>
        </w:tc>
        <w:tc>
          <w:tcPr>
            <w:tcW w:w="252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2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SECURITIES WE MAY OFFER</w:t>
            </w:r>
          </w:p>
        </w:tc>
        <w:tc>
          <w:tcPr>
            <w:tcW w:w="4480" w:type="dxa"/>
            <w:vAlign w:val="bottom"/>
            <w:gridSpan w:val="2"/>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54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PREFERRED STOCK</w:t>
            </w:r>
          </w:p>
        </w:tc>
        <w:tc>
          <w:tcPr>
            <w:tcW w:w="52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DEPOSITARY SHARES</w:t>
            </w:r>
          </w:p>
        </w:tc>
        <w:tc>
          <w:tcPr>
            <w:tcW w:w="51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DEBT SECURITIES</w:t>
            </w:r>
          </w:p>
        </w:tc>
        <w:tc>
          <w:tcPr>
            <w:tcW w:w="5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6000" w:type="dxa"/>
            <w:vAlign w:val="bottom"/>
            <w:gridSpan w:val="8"/>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UNITS</w:t>
            </w:r>
          </w:p>
        </w:tc>
        <w:tc>
          <w:tcPr>
            <w:tcW w:w="64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a part of an automatic shelf registration statement that we filed with the Securities and Exchange Commission (“SEC”) as a “well-known seasoned issuer,” as defined under Rule 405 under the Securities Act of 1933, as amended (the “Securities Act”) using the “shelf” registration process. Under this shelf registration statement, we may offer and sell from time to time, either separately or together, common stock, preferred stock, depositary shares, debt securities, rights, warrants, units, and hybrid securities combining elements of the foregoing, in one or more offerings. Unless indicated otherwise, references to “we,” “our,” “us,” “the Company” and “Renasant” are to Renasant Corporation and its subsidiaries on a consolidated basis, and references to “the Bank” or “our Bank” are to Renasant Bank.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may offer. Each time we offer and sell securities, we will provide a prospectus supplement that contains specific information about the terms of the securities and the offering. We may also authorize one or more free writing prospectuses to be provided to you that may contain material information relating to that offering. The applicable prospectus supplement and any related free writing prospectus that we may authorize to be provided to you may include a discussion of any risk factors or other special considerations applicable to those securities or to us, and may also add, update or change information contained in this prospectus. If there is any inconsistency between the information in this prospectus and the applicable prospectus supplement, you should rely on the information in the prospectus supplement. You should carefully read both this prospectus and any prospectus supplement, together with the additional information described under the heading “Where You Can Find More Information” below.</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That registration statement, including the exhibits and the documents incorporated herein by reference, can be read at our website (www.renasant.com), the SEC website (www.sec.gov) or at the SEC offices mentioned under the heading “Where You Can Find More Information” below.</w:t>
      </w:r>
    </w:p>
    <w:p>
      <w:pPr>
        <w:spacing w:after="0" w:line="180"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the relevant prospectus supplement. We have not authorized any other person, including any underwriter or agent, to provide you with different or additional information. If anyone provides you with different or inconsistent information, you should not rely on it. We may only use this prospectus to sell securities if it is accompanied by a prospectus supplement, and we will not make an offer to sell our securities in any jurisdiction where the offer or sale is not permitted. You should not assume that the information in this prospectus, the prospectus supplements, any free writing prospectus or any document incorporated by reference is accurate as of any date other than the date of the applicable document.</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sell securities to underwriters who will sell the securities to the public on terms fixed at the time of sale. In addition, the securities may be sold by us from time to time directly to the public or through dealers or designated agents. If we, directly or through agents, solicit offers to purchase the securities, we reserve the sole right to accept and, together with any agents, to reject, in whole or in part, any of those offers. Any prospectus supplement will contain the names of the underwriters, dealers or agents, if any, together with the terms of offering, the compensation of those underwriters and the net proceeds to us. Any underwriters, dealers, or agents participating in the offering may be deemed “underwriters” within the meaning of the Securities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 investment in Renasant securities involves certain risks. Before investing in Renasant securities, you should carefully read and consider the risk factors incorporated by reference into this prospectus, as well as those contained in any applicable prospectus supplement. These risk factors may also be updated from time to time by our future filings with the SEC under the Securities Exchange Act of 1934, as amended (the “Exchange Act”). You should also refer to other information contained in or incorporated by reference into this prospectus and any applicable prospectus supplement, including our financial statements and the related notes incorporated by reference herein. Additional risks and uncertainties not presently known to us at this time or that we currently deem immaterial may also materially and adversely affect our business, operations and prospects. The trading price of our securities could decline due to any of these risks, and you may lose all or part of your investment. This prospectus is qualified in its entirety by these risk factors.</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filed by us with the SEC under the Securities Act. This prospectus does not contain all the information set forth in the registration statement, certain parts of which are omitted in accordance with the rules and regulations of the SEC. For further information with respect to us and the securities offered by this prospectus, reference is made to the registration statement. Whenever a reference is made in this prospectus or any prospectus supplement to a contract or other document, the reference is only a summary and is qualified in its entirety by reference to the copy of the applicable document filed with the SEC; you should refer to the exhibits that are a part of the registration statement for a copy of the contract or other document.</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Our SEC filings are available to the public at the SEC’s website at www.sec.gov. Information that we file with the SEC can also be found on our website, www.renasant.com, under the “SEC Filings” tab. All Internet addresses provided in this prospectus are for informational purposes only and are not intended to be hyperlinks. In addition, the information contained on, or accessible through, our website, or any other website described herein, is not a part of and is not (and should not be deemed) incorporated by reference into this prospectus, and you should not consider it a part of this prospectus.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into this prospectus is deemed to be part of this prospectus, except for any information superseded by information contained directly in this prospectus, any subsequently filed document deemed incorporated by reference herein or any free writing prospectus prepared by us or on our behalf. In all cases, you should rely on the later information incorporated by reference over different information included in this prospectus or incorporated by reference herein.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incorporates by reference the documents set forth below (other than information deemed “furnished” and not filed in accordance with SEC rules, including information furnished pursuant to Items 2.02 and 7.01 of any Current Report on Form 8-K and corresponding information furnished under Item 9.01 as an exhibit thereto):</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23, 2024;</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Part III of our Annual Report on </w:t>
      </w:r>
      <w:hyperlink r:id="rId8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2023 from our definitive </w:t>
      </w:r>
      <w:hyperlink r:id="rId82">
        <w:r>
          <w:rPr>
            <w:rFonts w:ascii="Times New Roman" w:cs="Times New Roman" w:eastAsia="Times New Roman" w:hAnsi="Times New Roman"/>
            <w:sz w:val="18"/>
            <w:szCs w:val="18"/>
            <w:u w:val="single" w:color="auto"/>
            <w:color w:val="0000EE"/>
          </w:rPr>
          <w:t>proxy statement on Schedule 14A</w:t>
        </w:r>
      </w:hyperlink>
      <w:r>
        <w:rPr>
          <w:rFonts w:ascii="Times New Roman" w:cs="Times New Roman" w:eastAsia="Times New Roman" w:hAnsi="Times New Roman"/>
          <w:sz w:val="18"/>
          <w:szCs w:val="18"/>
          <w:color w:val="auto"/>
        </w:rPr>
        <w:t>, filed with the SEC on March 13, 2024;</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w:t>
      </w:r>
      <w:hyperlink r:id="rId84">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on May 8, 2024, for the quarter ended </w:t>
      </w:r>
      <w:hyperlink r:id="rId85">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on August 7, 2024, and for the quarter ended </w:t>
      </w:r>
      <w:hyperlink r:id="rId86">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on November 6, 2024;</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50"/>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and amendments thereto filed with the SEC on </w:t>
      </w:r>
      <w:hyperlink r:id="rId87">
        <w:r>
          <w:rPr>
            <w:rFonts w:ascii="Times New Roman" w:cs="Times New Roman" w:eastAsia="Times New Roman" w:hAnsi="Times New Roman"/>
            <w:sz w:val="18"/>
            <w:szCs w:val="18"/>
            <w:u w:val="single" w:color="auto"/>
            <w:color w:val="0000EE"/>
          </w:rPr>
          <w:t>April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information filed under item 5.02), </w:t>
      </w:r>
      <w:hyperlink r:id="rId88">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July 2, 2024</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July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information filed under items 1.01, 8.01, and 9.01), </w:t>
      </w:r>
      <w:hyperlink r:id="rId91">
        <w:r>
          <w:rPr>
            <w:rFonts w:ascii="Times New Roman" w:cs="Times New Roman" w:eastAsia="Times New Roman" w:hAnsi="Times New Roman"/>
            <w:sz w:val="18"/>
            <w:szCs w:val="18"/>
            <w:u w:val="single" w:color="auto"/>
            <w:color w:val="0000EE"/>
          </w:rPr>
          <w:t>July 30,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(only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information filed under items 1.01 and 9.01) (other than those portions of the documents deemed to be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furnished and not filed), </w:t>
      </w:r>
      <w:hyperlink r:id="rId92">
        <w:r>
          <w:rPr>
            <w:rFonts w:ascii="Times New Roman" w:cs="Times New Roman" w:eastAsia="Times New Roman" w:hAnsi="Times New Roman"/>
            <w:sz w:val="18"/>
            <w:szCs w:val="18"/>
            <w:u w:val="single" w:color="auto"/>
            <w:color w:val="0000EE"/>
          </w:rPr>
          <w:t>October 24,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93">
        <w:r>
          <w:rPr>
            <w:rFonts w:ascii="Times New Roman" w:cs="Times New Roman" w:eastAsia="Times New Roman" w:hAnsi="Times New Roman"/>
            <w:sz w:val="18"/>
            <w:szCs w:val="18"/>
            <w:u w:val="single" w:color="auto"/>
            <w:color w:val="0000EE"/>
          </w:rPr>
          <w:t>December 20, 2024</w:t>
        </w:r>
      </w:hyperlink>
      <w:r>
        <w:rPr>
          <w:rFonts w:ascii="Times New Roman" w:cs="Times New Roman" w:eastAsia="Times New Roman" w:hAnsi="Times New Roman"/>
          <w:sz w:val="18"/>
          <w:szCs w:val="18"/>
          <w:color w:val="000000"/>
        </w:rPr>
        <w:t>; and</w:t>
      </w:r>
    </w:p>
    <w:p>
      <w:pPr>
        <w:spacing w:after="0" w:line="85" w:lineRule="exact"/>
        <w:rPr>
          <w:rFonts w:ascii="Times New Roman" w:cs="Times New Roman" w:eastAsia="Times New Roman" w:hAnsi="Times New Roman"/>
          <w:sz w:val="18"/>
          <w:szCs w:val="18"/>
          <w:color w:val="000000"/>
        </w:rPr>
      </w:pPr>
    </w:p>
    <w:p>
      <w:pPr>
        <w:ind w:left="10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94">
        <w:r>
          <w:rPr>
            <w:rFonts w:ascii="Times New Roman" w:cs="Times New Roman" w:eastAsia="Times New Roman" w:hAnsi="Times New Roman"/>
            <w:sz w:val="18"/>
            <w:szCs w:val="18"/>
            <w:u w:val="single" w:color="auto"/>
            <w:color w:val="0000EE"/>
          </w:rPr>
          <w:t>Form 8-A/A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Statement filed on August 28, 2024, which makes reference to exhibit 4(i) to our Quarterly Report on </w:t>
      </w:r>
      <w:hyperlink r:id="rId9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7, 2024,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filed by us pursuant to Sections 13(a), 13(c), 14 or 15(d) of the Exchange Act after the date of this prospectus and before the termination of the offering also shall be deemed to be incorporated herein by reference, provided that any document or information contained in such filings that is deemed “furnished” to, or is otherwise not deemed filed with, the SEC in accordance with SEC rules, including, without limitation, our compensation committee report and performance graph in our definitive proxy statement on Schedule 14A, and information furnished under Items 2.02 and 7.01 of any Current Report on Form 8-K including related exhibits, shall not be deemed incorporated by reference herein.</w:t>
      </w:r>
    </w:p>
    <w:p>
      <w:pPr>
        <w:spacing w:after="0" w:line="183"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at no cost to each person to whom a prospectus is delivered, including any beneficial owner,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you may write or telephone us at the following address:</w:t>
      </w:r>
    </w:p>
    <w:p>
      <w:pPr>
        <w:spacing w:after="0" w:line="180"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7"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209 Troy Street</w:t>
      </w:r>
    </w:p>
    <w:p>
      <w:pPr>
        <w:spacing w:after="0" w:line="9"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Tupelo, Mississippi 38804-4827</w:t>
      </w:r>
    </w:p>
    <w:p>
      <w:pPr>
        <w:spacing w:after="0" w:line="9"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Telephone: (662) 680-1001</w:t>
      </w:r>
    </w:p>
    <w:p>
      <w:pPr>
        <w:spacing w:after="0" w:line="9"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Mr. James C. Mabry IV</w:t>
      </w:r>
    </w:p>
    <w:p>
      <w:pPr>
        <w:spacing w:after="0" w:line="203" w:lineRule="exact"/>
        <w:rPr>
          <w:rFonts w:ascii="Times New Roman" w:cs="Times New Roman" w:eastAsia="Times New Roman" w:hAnsi="Times New Roman"/>
          <w:sz w:val="18"/>
          <w:szCs w:val="18"/>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the applicable prospectus supplement. Neither we nor any underwriter or agent have authorized anyone else to provide you with additional or different information. We may only use this prospectus to sell securities if it is accompanied by a prospectus supplement. We are only offering these securities in jurisdictions where the offer is permitted. You should not assume that the information in this prospectus or the applicable prospectus supplement or any document incorporated by reference is accurate as of any date other than the dates of the applicable documents.</w:t>
      </w:r>
    </w:p>
    <w:p>
      <w:pPr>
        <w:spacing w:after="0" w:line="17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rFonts w:ascii="Times New Roman" w:cs="Times New Roman" w:eastAsia="Times New Roman" w:hAnsi="Times New Roman"/>
          <w:sz w:val="18"/>
          <w:szCs w:val="18"/>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and therein may contain or incorporate by reference statements about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and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w:t>
      </w:r>
    </w:p>
    <w:p>
      <w:pPr>
        <w:spacing w:after="0" w:line="10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based on the current beliefs and expectations of management. Our management believes these forward-looking statements are reasonable, but they are all inherently subject to significant business, economic and competitive risks and uncertainties, many of which are beyond our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for future performance and involve risks and uncertainties and, accordingly, investors should not place undue reliance on these forward-looking statements, which speak only as of the date they are made.</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risks, among others, could cause actual results to differ materially from the anticipated results or other expectations expressed in the forward-looking statements:</w:t>
      </w:r>
    </w:p>
    <w:p>
      <w:pPr>
        <w:spacing w:after="0" w:line="67" w:lineRule="exact"/>
        <w:rPr>
          <w:sz w:val="20"/>
          <w:szCs w:val="20"/>
          <w:color w:val="auto"/>
        </w:rPr>
      </w:pPr>
    </w:p>
    <w:p>
      <w:pPr>
        <w:ind w:left="1080" w:right="2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integrate acquisitions into our operations, retain the customers of these businesses, grow the acquired operations and realize the cost savings expected from an acquisition to the extent and in the time frame anticipated by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unknown or contingent risks and liabilities we have acquired, or may acquire, or target for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and interest rates on a national, regional or international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implementation of changes in operations to achieve enhanced earnings or effect cost savings;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consumer finance, commercial finance, financial services, asset management, retail banking, mortgage lending and auto lending industries;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of, and products available to,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as well as changes in accounting standards;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policy by regulatory agencies or increased scrutiny by, and/or additional regulatory requirements of, regulatory agencies in connection with proposed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securities and foreign exchange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growth, including our entrance or expansion into new markets, and the need for sufficient capital to support that growth;</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or composition of our loan or investment portfolios, including adverse developments in borrower industries or in the repayment ability of individual borrowers or issuers of investment securities, or the impact of interest rates on the value of our investment securities portfolio;</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insufficient allowance for credit losses as a result of inaccurate assumptions;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including the impact of 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loan and deposit products and other financial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or deposit exposure;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the lack of changes in interest rates, yield curves and interest rate spread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cybersecurity risk, including potential network breaches, business disruptions or financial losses;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natural disasters, epidemics and other catastrophic events in our geographic area;</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including acts or threats of terrorism, actions taken by the United States or other governments in response to acts or threats of terrorism and/or military conflicts, which could impact business and economic conditions in the United States and abroad;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extent and timing of technological changes;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many of which are beyond management’s control.</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Additional factors that could cause our results to differ materially from those described in the forward-looking statements can be found in our reports (such as Annual Reports on Form 10-K, Quarterly Reports on Form 10-Q and Current Reports on Form 8-K) filed with the SEC and available at the SEC’s website (www.sec.gov). All subsequent written and oral forward-looking statements concerning Renasant or other matters and attributable to Renasant or any person acting on our behalf are expressly qualified in their entirety by the cautionary statements above.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Renasant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any forward-looking statements made in this prospectus or any prospectus supplement, or in any documents incorporated by reference therein, we claim the protection of the safe harbor for forward-looking statements contained in the Private Securities Litigation Reform Act of 1995.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 bank holding company headquartered in Tupelo, Mississippi. Through our wholly-owned bank subsidiary, Renasant Bank, and its subsidiaries, Park Place Capital Corporation (“Park Place”) and Continental Republic Capital, LLC (doing business as “Republic Business Credit”), we operate 186 banking, lending, mortgage and wealth management offices in Mississippi, Tennessee, Alabama, Florida, Georgia, North Carolina and South Carolina. Our Community Banks, Mortgage and Wealth Management segments operate out of these offices; our subsidiary Republic Business Credit has four stand-alone offices in California, Illinois, Louisiana and Texas. Our Bank was originally founded in 1904 as The Peoples Bank &amp; Trust Company. In 1982, we reorganized as a bank holding company. In 2005, we changed our name from The Peoples Holding Company to Renasant Corporation.</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primary asset is our investment in our Bank. At December 31, 2024, our consolidated total assets were approximately $18.03 billion, our total loans (net of unearned income) were approximately $12.7 billion, our total deposits were approximately $14.6 billion, and our total shareholders’ equity was approximately $2.7 billion.</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Community Banks Segment</w:t>
      </w:r>
    </w:p>
    <w:p>
      <w:pPr>
        <w:spacing w:after="0" w:line="22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Substantially all of our business activities are conducted through, and substantially all of our assets and revenues are derived from, the operations of our community banks, which offer a complete range of banking and financial services to individuals and to businesses of all sizes. These services include business and personal loans, interim construction loans, specialty commercial lending, treasury management services and checking and savings accounts, as well as safe deposit boxes and night depository facilities. Automated teller machines are located throughout our market area, and we have interactive teller machines in many of our urban markets. Our customers may also conduct many banking transactions, such as opening deposit accounts and applying for certain types of loans, through our Online and Mobile Banking Products, and our call center provides 24-hour banking services.</w:t>
      </w:r>
    </w:p>
    <w:p>
      <w:pPr>
        <w:spacing w:after="0" w:line="17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Through our Mortgage division, we offer both fixed and variable rate residential mortgage loans with competitive terms and fees. In many cases, we originate mortgage loans with the intention of selling them in the secondary market to third party private investors or directly to government sponsored entities. Depending on a number of factors, we may release or retain the right to service these loans upon the sale.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Wealth Management Segment</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Through the Wealth Management segment (which includes the operations of Park Place), we offer a broad range of fiduciary services including the administration (as trustee or in other fiduciary or representative capacities) of benefit plans, management of trust accounts, inclusive of personal and corporate benefit accounts, and custodial accounts, as well as accounting and money management for trust accounts. In addition, the Wealth Management segment, through the Financial Services division, provides specialized products and services to customers, which include fixed and variable annuities, mutual funds and other investment services through a third-party broker-dealer. Our Wealth Management operations are headquartered in Tupelo, Mississippi, and Birmingham, Alabama, but our products and services are available to customers in all of our markets through our Community Banks.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of Renasant Insurance, Inc.</w:t>
      </w:r>
    </w:p>
    <w:p>
      <w:pPr>
        <w:spacing w:after="0" w:line="22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Effective July 1, 2024, Renasant Bank sold substantially all of the assets of Renasant Insurance, Inc. for gross cash proceeds to Renasant Bank of $56,390,000. The sale resulted in a positive after-tax impact to earnings of $34,092,000, which is net of estimated transaction-related expenses. The financial effects of the sale are reflected in the third quarter of 2024.</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Merger with The First Bancshares, Inc.</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July 29, 2024, Renasant and The First Bancshares, Inc., a Mississippi corporation (“The First”), entered into an agreement and plan of merger, dated as of July 29, 2024 (the “Merger Agreement”), pursuant to which, subject to the terms and conditions set forth therein, among other things, The First will merge with and into Renasant, with Renasant as the surviving entity in such merger (the “Merger”). Immediately following the Merger, The First’s subsidiary bank and Renasant Bank will enter into a subsidiary plan of merger, pursuant to which The First’s subsidiary bank will merge with and into Renasant Bank immediately after the Merger, with Renasant Bank as the surviving entity in such merger. Subject to the terms and conditions of the Merger Agreement, at the effective time of the Merger, each outstanding share of common stock of The First will be converted into the right to receive one share of common stock of Renasant.</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shareholders and the shareholders of The First approved the Merger at special meetings held on October 22, 2024. The Merger is expected to close in the first half of 2025 and is subject to certain closing conditions, including the receipt of required regulatory approvals.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22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“RNST.” Our principal executive office is located at 209 Troy Street, Tupelo, Mississippi 38804-4827, and our telephone number is (662) 680-1001. We maintain a website at www.renasant.com. The foregoing Internet website is not incorporated by reference in this prospectus, and you should not consider it a part of this prospectus.</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the sales of the securities in the manner and for the purposes set forth in the applicable prospectus supplement, which may include general corporate purposes such as (1) providing capital to support our growth organically or through strategic acquisitions, (2) repaying or refinancing existing indebtedness, (3) financing investments in our subsidiaries or capital expenditures and (4) investing the funds in our Bank as regulatory capital. The applicable prospectus supplement will provide more details on the use of proceeds of any specific offering at the time of sale. Pending such use, we may place the net proceeds in temporary investments or in deposit accounts at the Bank or we may use the net proceeds to reduce our indebtedness.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contains summary descriptions of the common stock, preferred stock, depositary shares, debt securities, rights, warrants and units that we may offer from time to time. These summary descriptions are not meant to be complete descriptions of each security. The applicable prospectus supplement and other offering material will describe the particular terms of any security we offer, and it may add, update or change the terms and conditions of the securities as summarized in this prospectus. The applicable prospectus supplement will also contain information, where applicable, about material U.S. federal income tax considerations relating to the securities, and the securities exchange, if any, on which the securities will be listed.</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for certain types of securities we offer, as discussed below, we may also adopt an amendment to our articles of incorporation or enter into an agreement that will govern the terms of such securities. We will file any such amendment or agreement with the SEC in connection with the offering of the applicable securities. For more information on how you can obtain copies of documents we file with the SEC, see “Where You Can Find More Information” above.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descriptions of our common stock, preferred stock, depositary shares, debt securities, rights, warrants and units, the terms “we,” “our” and “us” refer only to Renasant Corporation and not to its subsidiaries.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information describes our common stock, par value $5.00 per share, or “common stock” which is the only security of the Company registered under Section 12 of the Securities Exchange Act of 1934, as amended. This description is qualified in its entirety by reference to our Articles of Incorporation, as amended (our “Articles”), and our Amended and Restated Bylaws (our “Bylaws”), and to the applicable provisions of the Mississippi Business Corporation Act of 1972, as amended (the “MBCA”), and other applicable provisions of Mississippi law. You should refer to, and read this summary together with, our Articles of Incorporation and Bylaws to review all of the terms of our common stock. When we offer to sell shares of our common stock, we will describe the specific terms of the offering and the shares in a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Articles authorize the issuance of up to 150,000,000 shares of common stock. A total of 63,565,690 shares were issued and outstanding as of December 31, 2024. Our common stock trades on the New York Stock Exchange under the symbol “RNST.” As of December 31, 2024, approximately 2,418,071 shares of common stock were reserved for issuance under various employee and director benefit plans that we maintain.</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rights and privileges of holders of our common stock are subject to any preferences that our board of directors may set for any series of preferred stock that we may issue in the future. These preferences may relate to voting, dividend and liquidation rights, among other things.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Broadridge Corporate Issuer Solutions, Inc. serves as the registrar and transfer agent of our common stock.</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per share on all matters submitted to a vote of shareholders, including the election of directors. Shareholders do not have cumulative voting rights. Directors are elected by a plurality of votes cast. In all matters other than the election of directors, in general, a majority of votes cast on a matter, whether in person or by proxy, at a meeting of shareholders at which a quorum is present is sufficient to take action on such matter, except that supermajority votes are required to approve specified business combinations, as discussed below.</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“majority voting” policy. Under this policy, which applies only in an uncontested election of directors, any nominee for director who receives a greater number of “withhold” votes for his or her election than votes “for” such election, although still elected to the board of directors, must promptly tender to the board of directors his or her resignation as a director, which will become effective upon acceptance by the board of directors. If any resignation is tendered under these circumstances, the nominating and corporate governance committee of our board of directors must consider the resignation and make a recommendation to the board of directors as to whether to accept or reject the director’s resignation. No later than 90 days after the shareholders meeting that resulted in a director being required to submit his or her resignation, the board of directors must consider the recommendation of the nominating and corporate governance committee and act on such resignation.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Supermajority Voting Provision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Articles contain a “fair price” provision. This provision requires the approval by the holders of not less than 80% of our outstanding voting stock, and the approval of the holders of not less than 67% of our outstanding voting stock held by shareholders other than a “controlling party” (defined to mean a shareholder owning or controlling 20% or more of our outstanding voting stock at the time of the proposed transaction), of any merger, consolidation or sale or lease of all or substantially all of our assets involving the controlling party. For purposes of the fair price provisions, “substantially all” of our assets means assets having a fair market value or book value, whichever is greater, that is at least 25% of the value of our total assets, as set forth on a balance sheet that is as of a date no more than 45 days prior to the proposed transaction. The elevated approval requirements do not apply if (1) the proposed transaction is approved by a majority of our board of directors or (2) the consideration our shareholders will receive in the proposed transaction meets certain minimum price requirements set forth in our Articles.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the affirmative vote of the holders of at least 80% of the total outstanding shares of our common stock is required to alter, amend, repeal or adopt any provision inconsistent with these fair price provisions.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Holders of our common stock are entitled to receive dividends or distributions, whether payable in cash or otherwise, if, as and when declared by our board of directors, out of funds legally available for these payments. Under the MBCA, we may not pay a dividend if, after paying such dividend,</w:t>
      </w:r>
    </w:p>
    <w:p>
      <w:pPr>
        <w:spacing w:after="0" w:line="1" w:lineRule="exact"/>
        <w:rPr>
          <w:sz w:val="20"/>
          <w:szCs w:val="20"/>
          <w:color w:val="auto"/>
        </w:rPr>
      </w:pPr>
    </w:p>
    <w:p>
      <w:pPr>
        <w:ind w:left="120" w:right="240" w:hanging="4"/>
        <w:spacing w:after="0" w:line="255" w:lineRule="auto"/>
        <w:tabs>
          <w:tab w:leader="none" w:pos="3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able to pay our debts as they become due or (2) our total assets would be less than the sum of our total liabilities plus the amount that would be needed to satisfy upon dissolution the preferential rights of shareholders, if any, whose rights are superior to those receiving the distribution.</w:t>
      </w:r>
    </w:p>
    <w:p>
      <w:pPr>
        <w:spacing w:after="0" w:line="18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 bank holding company, our ability to pay dividends is substantially dependent on the ability of Renasant Bank, our wholly-owned subsidiary, to transfer funds to us in the form of dividends, loans and advances. Accordingly, our declaration and payment of dividends depends upon the Bank’s earnings and financial condition, as well as upon general economic conditions and other factors. In addition, under Mississippi law, a Mississippi bank may not pay dividends unless its earned surplus is in excess of three times capital stock. A Mississippi bank with earned surplus in excess of three times capital stock may pay a dividend, subject to the approval of the Mississippi Department of Banking and Consumer Finance (the “DBCF”). In addition, the Federal Deposit Insurance Corporation (the “FDIC”) also has the authority to prohibit the Bank from engaging in business practices that the FDIC considers to be unsafe or unsound, which, depending on the financial condition of the Bank, could include the payment of dividends. Accordingly, the approval of the DBCF is required prior to the Bank paying dividends to us, and under certain circumstances the approval of the FDIC may be required. Finally, Federal Reserve regulations limit the amount the Bank may transfer to us in the form of a loan unless such loan is collateralized by specific obligations.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FDIC and DBCF restrictions on dividends payable by the Bank to Renasant, the Federal Reserve provided guidance on the criteria that it will use to evaluate the request by a bank holding company such as Renasant to pay dividends in an aggregate amount that will exceed the bank holding company’s earnings for the period in which the dividends will be paid, which did not apply to Renasant in 2024 or through the date of this prospectus. For purposes of this analysis, “dividend” includes not only dividends on preferred and common equity but also dividends on debt underlying trust preferred securities and other Tier 1 capital instruments. The Federal Reserve’s criteria evaluates whether the holding company (1) has net income over the past four quarters sufficient to fully fund the proposed dividend (taking into account prior dividends paid during this period), (2) is considering stock repurchases or redemptions in the quarter, (3) does not have a concentration in commercial real estate and (4) is in good supervisory condition, based on its overall condition and its asset quality risk. A holding company not meeting these criteria will require more in-depth consultations with the Federal Reserve.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Filling Board Vacancies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our 2024 Annual Meeting of Shareholders, our shareholders approved an amendment to our Articles to phase out the classified structure of the board of directors and provide for the annual election of directors. The annual election of directors will be phased in over three years. Directors whose terms expired at the 2024 Annual Meeting and who stood for election at the meeting were elected for a one-year term. At the 2025 Annual Meeting of Shareholders, the directors whose terms expire at such annual meeting and who are standing for election at such meeting, along with the directors elected at the 2024 Annual Meeting (as well as any other nominee for election as a director at such meeting), will be elected for a one-year term. Finally, at the 2026 Annual Meeting of Shareholders, all of our director nominees will stand for election for a one-year term.</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may fill a vacancy on the board of directors, including a vacancy created by an increase in the number of directors. Any director elected to the board of directors to fill a vacancy on the board of directors will hold office until the next annual meeting of shareholders. Under the MBCA, shareholders may remove a director with or without cause, but only at a meeting of shareholders called specifically for the purpose of removing such director (a shareholder’s rights to call a meeting are discussed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and Other Rights</w:t>
      </w:r>
    </w:p>
    <w:p>
      <w:pPr>
        <w:spacing w:after="0" w:line="22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shareholders are entitled to share ratably in our assets legally available for distribution to our shareholders in the event of the Company’s liquidation, dissolution or winding up, whether voluntary or involuntary, after payment of, or adequate provision for, all of our known debts and liabilities.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Holders of shares of our common stock have no preference, conversion or exchange rights and have no preemptive rights to subscribe for any of our securities. There are no sinking fund provisions applicable to our common stock. All outstanding common stock is, when issued against payment therefor, fully paid and non-assessable. Such shares are not redeemable at the option of holders thereof or the Company. Finally, subject to the MBCA and New York Stock Exchange rules, our board of directors may issue additional shares of our common stock or rights to purchase shares of our common stock without the approval of our shareholders.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ability of a third party to acquire us is limited under applicable United States banking laws and regulations. The Bank Holding Company Act of 1956, as amended (the “BHC Act”) generally prohibits any company that is not engaged in banking activities and activities that are permissible for a bank holding company or a financial holding company from acquiring “control” of the Company. Control is generally defined as ownership of 25% or more of the voting stock of a company, the ability to control the election of a majority of the company’s board of directors or the other exercise of a “controlling influence” over a company. For any existing bank holding company, under the BHC Act such bank holding company must obtain the prior approval of the Federal Reserve before acquiring 5% or more of the company’s voting stock. In addition, the Change 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Renasant, where no other person holds a greater percentage of that class of voting stock, constitutes acquisition of control of the bank holding company.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Articles of Incorporation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Articles contain certain provisions that may make it more difficult to acquire control of the Company by means of a tender offer, open market purchase, proxy contest or otherwise. These provisions, which are summarized below, are designed to encourage persons seeking to acquire control of the Company to negotiate with our directors. We believe that, as a general rule, the interests of our shareholders are best served if any change in control results from negotiations with our directors.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Fair Price Provision</w:t>
      </w:r>
      <w:r>
        <w:rPr>
          <w:rFonts w:ascii="Times New Roman" w:cs="Times New Roman" w:eastAsia="Times New Roman" w:hAnsi="Times New Roman"/>
          <w:sz w:val="18"/>
          <w:szCs w:val="18"/>
          <w:color w:val="auto"/>
        </w:rPr>
        <w:t>. The “fair price” provision in our Articles is described above. Subject to certain exceptions, this provision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the holders of not less than 80% of our outstanding voting stock, and the approval by the holders of not less than 67% of our outstanding voting stock excluding shareholders constituting a “controlling party,” of any merger, consolidation or sale or lease of all or substantially all of our assets involving the controlling party. This fair price provision makes it more difficult for a third party to obtain approval of a business combination transaction.</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Authority to Issue “Blank Check” Preferred Stock</w:t>
      </w:r>
      <w:r>
        <w:rPr>
          <w:rFonts w:ascii="Times New Roman" w:cs="Times New Roman" w:eastAsia="Times New Roman" w:hAnsi="Times New Roman"/>
          <w:sz w:val="18"/>
          <w:szCs w:val="18"/>
          <w:color w:val="auto"/>
        </w:rPr>
        <w:t>. Our board of directors is authorized to issue, without any further approval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 series of preferred stock with the designations, preferences and relative participating, optional or other special rights, and the qualifications, limitations or restrictions, as the board of directors determines in its discretion. This authorization may operate to provide anti-takeover protection for the Company. In the event of a proposed merger, tender offer or other attempt to gain control of the Company that the board of directors does not believe is in our or our shareholders’ best interests, the board of directors has the ability to quickly issue shares of preferred stock with certain rights, preferences and limitations that could make the proposed takeover attempt more difficult to complete. Such preferred stock may also be used in connection with the issuance of a shareholder rights plan, sometimes called a “poison pill.”</w:t>
      </w:r>
    </w:p>
    <w:p>
      <w:pPr>
        <w:spacing w:after="0" w:line="1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authorization to issue preferred stock may also benefit present management. A potential acquiror may be discouraged from attempting a takeover because the board of directors possesses the authority to issue preferred stock. Thus, management may be able to retain its position more easily. The board of directors, however, does not intend to issue any preferred stock except on terms that the board of directors deems to be in the best interest of Renasant and its shareholders.</w:t>
      </w:r>
    </w:p>
    <w:p>
      <w:pPr>
        <w:spacing w:after="0" w:line="178"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Shareholder’s Right to Call a Special Meeting</w:t>
      </w:r>
      <w:r>
        <w:rPr>
          <w:rFonts w:ascii="Times New Roman" w:cs="Times New Roman" w:eastAsia="Times New Roman" w:hAnsi="Times New Roman"/>
          <w:sz w:val="18"/>
          <w:szCs w:val="18"/>
          <w:color w:val="auto"/>
        </w:rPr>
        <w:t>. Our Bylaws provide that a shareholder may not call a special meeting of shareholders unless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owns at least 50% of Renasant’s issued and outstanding stock. This requirement makes it more difficult for a third-party acquiror to call a shareholders’ meeting to vote on corporate matters.</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Advance Notice Requirements</w:t>
      </w:r>
      <w:r>
        <w:rPr>
          <w:rFonts w:ascii="Times New Roman" w:cs="Times New Roman" w:eastAsia="Times New Roman" w:hAnsi="Times New Roman"/>
          <w:sz w:val="18"/>
          <w:szCs w:val="18"/>
          <w:color w:val="auto"/>
        </w:rPr>
        <w:t>. Our Bylaws require a shareholder who desires to nominate a candidate for election to the board of directors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raise new business at an annual shareholders’ meeting to provide us advance notice not earlier than 120 days and not later than 90 days before the first anniversary of the immediately preceding year’s annual meeting. If the date of the annual meeting is advanced by more than 30 days or delayed by more than 90 days from the anniversary date of the previous year’s meeting, to be timely a shareholder must deliver advance notice not earlier than the 120th day prior to the annual meeting and not later than the close of business on the later of the 90th day prior to such annual meeting or the 10th day following the day on which public announcement of the date of such meeting is first made if the public announcement is made less than 120 days prior to the annual meeting.</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our Bylaws, a shareholder must also provide detailed information about the nominee or business and satisfy certain other conditions.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 and Bylaws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Mississippi law, a corporation’s articles of incorporation generally may be amended if the votes cast by shareholders in favor of the amendment exceed the votes cast opposing the amendment, unless a greater number is specified in the articles. The affirmative vote of the holders of at least 80% of the total outstanding shares of our common stock is required to amend the fair price provisions in our Articles.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may be amended by a majority vote of our board of directors or our shareholders.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section outlines the general provisions of the shares of preferred stock, par value $0.01 per share, or “preferred stock,” that we may offer from time to time. The applicable prospectus supplement will describe the specific terms of any series of preferred stock that we issue. The prospectus supplement will also indicate whether the terms and provisions described in this prospectus apply to the particular series of preferred stock to which the prospectus supplement relates.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preferred stock, and any description of preferred stock in a prospectus supplement, is only a summary and is subject to and qualified in its entirety by reference to the articles of amendment to our Articles that our board of directors will adopt relating to the particular series of preferred stock, as well as to applicable provisions of our Bylaws, the MBCA and other applicable provisions of Mississippi law. We will file a copy of the articles of amendment with the SEC in connection with the sale of any series of preferred stock. You should refer to, and read this summary together with, such articles of amendment, as well as our Articles and Bylaws, to understand all of the terms of any shares of preferred stock that we may offer.</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Finally, the information in “Description of Common Stock” above discussing the anti-takeover provisions in our Articles are equally applicable to the discussion of the terms of our preferred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Under our Articles, our board of directors is authorized, without shareholder approval, to adopt resolutions providing for the issuance of up to 5,000,000 shares of preferred stock, in one or more series, subject to the provisions of our Articles, applicable law and NYSE rules. Our board of directors may fix the designations, preferences and relative participating, optional or other special rights of, and the qualifications, limitations or restrictions of, each series of preferred stock. As of the date of this prospectus, no series of preferred stock has been designated, and no shares of our preferred stock are issued or outstanding.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preferred stock will contain a description of the specific terms of that series, including, as applicable:</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designation and number of shares of the series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the amount or method of calculation of dividends, the payment dates for dividends, whether dividends will be cumulative or non-cumulative, and, if cumulative, the date or dates from and after which dividends will begin to accumulate;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will be convertible or exchangeable into shares of our common or preferred stock, and, if so, the price and other terms and conditions of conversion or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preferred stock will be redeemable and, if redeemable, the redemption price (or the method for calculating the redemption price) and the other terms and conditions relating to the redemption of the shares of preferred stock (including any restriction on redemption when the payment of dividends is in arrears);</w:t>
      </w:r>
    </w:p>
    <w:p>
      <w:pPr>
        <w:spacing w:after="0" w:line="81"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payable on the shares of such series of preferred stock in the event of the Company’s voluntary or involuntary liquidation, dissolution or winding up;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that a sinking fund or purchase fund be provided for the redemption or purchase of the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market, if any, where the preferred stock will be listed or traded;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or other special rights, or qualifications, limitations or restrictions thereon, to the extent not inconsistent with the terms of our Articles of Incorporation.</w:t>
      </w:r>
    </w:p>
    <w:p>
      <w:pPr>
        <w:spacing w:after="0" w:line="162"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Upon the issuance and payment for shares of preferred stock, the shares will be fully paid and nonassessable. Except as otherwise may be specified in the prospectus supplement relating to a particular series of preferred stock, holders of preferred stock will not have any preemptive or subscription rights to acquire any class or series of our capital stock.</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rights of holders of our preferred stock may be adversely affected by the rights of holders of any new shares of preferred stock that may be issued by us in the future. Our board of directors may cause shares of preferred stock to be issued in public or private transactions for any proper corporate purposes. Proper corporate purposes include, among other things, issuances to obtain additional financing in connection with acquisitions, in connection with a shareholders’ right plan or otherwise.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particular series of preferred stock, each series of preferred stock will rank on an equal basis with each other series of our preferred stock and prior to our common stock as to dividends and any distribution of our assets.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each series of preferred stock will be entitled to receive cash dividends only if, as and when declared by our board of directors out of funds legally available for dividends. The prospectus supplement will describe the dividend rates and the dates on which we will pay dividends as to each series of preferred stock. Dividends on any series of preferred stock may be fixed or variable, or both, and may be cumulative or non-cumulative, in each case as described in the applicable prospectus supplement.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not declare, pay or set apart funds for payment of dividends on a particular series of preferred stock unless full dividends on any other series of preferred stock that ranks equally with or senior to such series of preferred stock have been paid or sufficient funds have been set aside for payment. If dividends are not paid in full to each series of preferred stock, we will declare any dividends pro rata among the preferred stock of each series and any series of preferred stock that ranks equally with or senior to such series of preferred stock. A “pro rata” declaration means that the dividends we declare per share on each series of preferred stock will bear the same relationship to each other that the full accrued dividends per share on each series of the preferred stock bear to each other.</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all dividends on the preferred stock of each series issued have been paid in full, we will not declare or pay any dividends or set aside sums for payment of dividends or distributions, on any common stock or on any class of security ranking junior to a series of preferred stock, except for dividends or distributions paid in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form of securities ranking junior to the preferred stock. We will also not redeem, purchase or otherwise acquire any securities ranking junior to a series of preferred stock as to dividends or liquidation preferences, except by conversion into or exchange for stock ranking junior to the series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for any series of preferred stock will state the terms, if any, on which shares of that series are convertible or exchangeable into shares of our common stock or another series of our preferred stock. The terms of any such conversion or exchange (and any such preferred stock issuable in connection therewith) will be described in the prospectus supplement relating to such series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so specified in the applicable prospectus supplement, a series of preferred stock may be redeemable at any time, in whole or in part, at our option or at the option of the holder thereof, and may be mandatorily redeemable or convertible. The applicable prospectus supplement will describe the restrictions, if any, on our repurchase or redemption of any series of our preferred stock, including, without limitation, any restrictions on our repurchase or redemption on any series of our preferred stock if we are in arrears on the payments of any dividends or sinking fund installments. Any partial redemptions of preferred stock will be made in a way that our board of directors decides is equitable.</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the redemption date of shares of preferred stock called for redemption or upon our earlier call and deposit of the redemption price, all rights of holders of the preferred stock called for redemption will terminate, except for the right to receive the redemption price.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whether voluntary or involuntary, holders of each series of preferred stock will have the right to receive distributions upon liquidation in the amount described in the applicable prospectus supplement relating to each series of preferred stock, plus an amount equal to any accrued but unpaid dividends. These distributions will be made before any distribution is made on our common stock or on any securities ranking junior to such preferred stock.</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liquidation amounts payable to holders of preferred stock of all series ranking on a parity regarding liquidation are not paid in full, the holders of the preferred stock of these series will have the right to a pro rata portion of our available assets up to the full liquidation preference. Holders of these series of preferred stock or such other securities will not be entitled to any other amounts from us after they have received their full liquidation preference.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shares of preferred stock will have no voting rights, except:</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stated in the applicable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stated in the articles of amendment to our Articles establishing the series of such preferred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regulations adopted by the Federal Reserve, if the holders of the preferred stock of any series become entitled to vote for the election of directors, whether because dividends on the preferred stock of such series are in arrears or otherwise, preferred stock of such series could be deemed a “class of voting securities.” In this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instance, a holder of 25% or more of the preferred stock of such series likely would then be subject to regulation as a bank holding company in accordance with the BHC Act. In addition, a holder of such series that exercises a “controlling influence” over the Company, as determined by the Federal Reserve based on the holder’s total equity investment and other relevant facts and circumstances, could also be subject to regulation under the BHC Act. To the extent a series of preferred stock is deemed a class of voting securities, acquisitions of shares of such series of preferred stock may be subject to the requirements described above under the heading “Description of Common Stock—Restrictions on Ownership.”</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name the transfer agent, registrar, dividend paying agent and depositary, if any, for shares of each series of preferred stock.</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terms of any depositary shares and any depositary receipts that we offer for sale and any deposit agreement relating to a particular series of preferred stock will be described in more detail in a prospectus supplement. The prospectus supplement will also state whether any of the provisions summarized below do not apply to the depositary shares or depositary receipts being offered. The following description of the depositary shares contained in this prospectus is not complete. You should refer to the form of the deposit agreement and the articles of amendment to our Articles for the applicable series of preferred stock that are, or will be, filed with the SEC.</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elect to offer fractional shares of preferred stock, rather than full shares of preferred stock. In such event, we will issue receipts for depositary shares, each of which will represent a fraction of a share of a particular series of preferred stock.</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shares of preferred stock underlying the depositary shares will be deposited with a bank or trust company selected by us to act as depositary, which we refer to in this prospectus as the “depositary,” under a deposit agreement between us, the depositary and the holders of the depositary receipts. We will identify the depositary in the applicable prospectus supplement. The depositary will be the transfer agent, registrar and dividend disbursing agent for the depositary shares. Subject to the terms of the deposit agreement,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 If necessary, the prospectus summary will also provide a description of the U.S. federal income tax consequences relating to the purchase and ownership of the series of depositary shares offered by that prospectus supplement.</w:t>
      </w:r>
    </w:p>
    <w:p>
      <w:pPr>
        <w:spacing w:after="0" w:line="17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 While the final depositary receipts are being prepared, we may order the depositary to issue temporary depositary receipts substantially identical to the final depositary receipts although not in final form. The holders of the temporary depositary receipts will be entitled to the same rights as if they held the depositary receipts in final form. Holders of the temporary depositary receipts can exchange them for the final depositary receipts at our expense.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preferred stock depositary will distribute all cash dividends or other cash distributions received in respect of the deposited preferred stock to the record holders of depositary shares relating to such preferred stock in proportion to the number of such depositary shares owned by such holders.</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preferred stock depositary will distribute any property received by it other than cash to the record holders of depositary shares entitled thereto. If the preferred stock depositary determines that it is not feasible to make such distribution, it may, with our approval, sell such property and distribute the net proceeds from such sale to such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If a series of our preferred stock underlying the depositary shares has a liquidation preference, in the event of the Company’s voluntary or involuntary liquidation, dissolution or winding up, holders of depositary shares will be entitled to receive the fraction of the liquidation preference accorded each share of the applicable series of our preferred stock, as set forth in the applicable prospectus supplement.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Preferred Stock</w:t>
      </w:r>
    </w:p>
    <w:p>
      <w:pPr>
        <w:spacing w:after="0" w:line="22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If a series of preferred stock represented by depositary shares is to be redeemed, the depositary shares will be redeemed from the proceeds received by the preferred stock depositary resulting from the redemption, in whole or in part, of such series of preferred stock. The depositary shares will be redeemed by the preferred stock depositary at a price per depositary share equal to the applicable fraction of the redemption price per share payable in respect of the shares of preferred stock so redeemed.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Whenever we redeem shares of preferred stock held by the preferred stock depositary, the preferred stock depositary will redeem as of the same date the number of depositary shares representing the shares of preferred stock so redeemed. If fewer than all of the depositary shares are to be redeemed, the depositary shares to be redeemed will be selected by the preferred stock depositary by lot or ratably or by any other equitable method as the preferred stock depositary may decide.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previously been called for redemption, any holder of depositary shares may receive the number of whole shares of the related series of preferred stock and any money or other property represented by such depositary receipts after surrendering the depositary receipts at the corporate trust office of the preferred stock depositary. Holders of depositary shares making such withdrawals will be entitled to receive whole shares of preferred stock on the basis set forth in the related prospectus supplement for such series of preferred stock.</w:t>
      </w:r>
    </w:p>
    <w:p>
      <w:pPr>
        <w:spacing w:after="0" w:line="180"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However, holders of such whole shares of preferred stock will not be entitled to deposit such preferred stock under the deposit agreement or to receive depositary receipts for such preferred stock after such withdrawal. If the depositary shares surrendered by the holder in connection with such withdrawal exceed the number of depositary shares that represent the number of whole shares of preferred stock to be withdrawn, the preferred stock depositary will deliver to such holder at the same time a new depositary receipt evidencing such excess number of depositary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Deposited Preferred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series of deposited preferred stock are entitled to vote, the preferred stock depositary will mail the information contained in such notice of meeting to the record holders of the depositary shares relating to such series of preferred stock. Each record holder of such depositary shares on the record date will be entitled to instruct the preferred stock depositary to vote the amount of the preferred stock represented by such holder’s depositary shares. The preferred stock depositary will vote the amount of such series of preferred stock represented by such depositary shares in accordance with such instructions.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agree to take all reasonable actions that the preferred stock depositary determines are necessary to enable the preferred stock depositary to vote as instructed. The preferred stock depositary will vote all shares of any series of preferred stock held by it proportionately with instructions received if it does not receive specific instructions from the holders of depositary shares representing such series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us and the preferred stock depositary. However, any amendment that materially and adversely alters the rights of the holders of depositary shares, other than fee changes, will not be effective unless the amendment has been approved by at least a majority of the outstanding depositary shares. Every holder of an outstanding depositary receipt at the time any such amendment becomes effective, or any transferee of such holder, shall be deemed, by continuing to hold such depositary receipt, or by reason of the acquisition thereof, to consent and agree to such amendment and to be bound by the deposit agreement that has been amended thereby.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will automatically terminate if:</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preferred stock has been converted into or exchanged for common stock;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distribution in respect of the preferred stock has been made to the holders of depositary shares in connection with any liquidation, dissolution or winding up of Renasant.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the deposit agreement at any time, and the preferred stock depositary will give notice of such termination to the record holders of all outstanding depositary receipts not less than 30 days prior to the termination date. In such event, the preferred stock depositary will deliver or make available for delivery to holders of depositary shares, upon surrender of such depositary shares, the number of whole or fractional shares of the related series of preferred stock as are represented by such depositary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Preferred Stock Depositary; Taxes and Other Governmental Charges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 fees, charges or expenses of the preferred stock depositary or any agent of the preferred stock depositary or of any registrar shall be payable by any person other than Renasant, except for any taxes and other governmental charges and except as provided in the deposit agreement. If the preferred stock depositary incurs fees, charges or expenses for which it is not otherwise liable under the deposit agreement at the election of a holder of a depositary receipt or other person, such holder or other person will be liable for such fees, charges and expenses.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preferred stock depositary may resign at any time by delivering to us notice of its intent to do so, and we may at any time remove the preferred stock depositary, any such resignation or removal to take effect upon the appointment of a successor preferred stock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depositary will forward to the holders of depositary shares all reports and communications from us that are delivered to the preferred stock depositary and that we are required to furnish to the holders of the deposited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the preferred stock depositary nor Renasant will be liable if it is prevented or delayed by law or any circumstances beyond its control in performing its obligations under the deposit agreement. The obligations of Renasant and the preferred stock depositary under the deposit agreement will be limited to performance with honest intentions of their duties thereunder, and they will not be obligated to prosecute or defend any legal proceeding in respect of any depositary shares, depositary receipts or shares of preferred stock unless satisfactory indemnity is furnished. Renasant and the preferred stock depositary may rely upon written advice of counsel or accountants or upon information provided by holders of depositary receipts or other persons believed to be competent and on documents believed to be genuine.</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offer from time to time debt securities in the form of senior debt securities, subordinated debt securities or junior subordinated debt securities. Unless otherwise provided in the applicable prospectus supplement, the senior debt securities will be our unsecured obligations and will rank equally with all of our other unsecured and unsubordinated indebtedness from time to time outstanding. The subordinated debt securities will be our unsecured obligations and will be subordinated in right of payment to the prior payment in full of all of our senior indebtedness, which term includes senior debt securities, as described below under “Subordinated Debt Securities”. In certain events of insolvency, the subordinated debt securities will also be subordinated to certain other financial obligations, as described below under “Subordinated Debt Securities”.</w:t>
      </w:r>
    </w:p>
    <w:p>
      <w:pPr>
        <w:spacing w:after="0" w:line="187"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The subordinated debt securities and junior subordinated debt securities will be issued under an indenture (the “subordinated debt indenture”) between us and Wilmington Trust, National Association, dated August 22, 2016, a copy of which is incorporated by reference as an exhibit to the Registration Statement of which this prospectus forms a part. The senior debt securities will be issued under a senior debt indenture (the “senior debt indenture”) between us and a trustee to be identified in the applicable prospectus supplement, a form of which will be filed as an exhibit to the Registration Statement of which this prospectus forms a part. The senior debt indenture and the subordinated debt indenture are referred to in this prospectus collectively as the “indentures” and individually as an “indenture.” The specific terms applicable to a particular issuance of debt securities and any variations from the terms below will be set forth in the applicable prospectus supplement.</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we have issued $400 million in subordinated notes under the subordinated debt indenture, $60 million of which are due in 2026, $240 million of which are due in 2031 and $100 million of which are due in 2035.</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also assumed subordinated notes in connection with our acquisitions of other bank holding companies, and we have issued, or assumed as part of our acquisitions of other bank holding companies, debentures issued in connection with the sale of trust preferred securities. The prospectus supplement that we provide in connection with the offer and sale of any debt securities will include updated information regarding our outstanding indebtedness.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the prospectus supplement will describe the specific terms of the series, and it will also address whether the general terms and provisions described below apply to the particular series of debt securities.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indentures are substantially identical in all material respects except as described below under “Subordinated Debt Securities” in this section. The following is a summary of the material terms of the indentures and debt securities but the summary does not purport to be complete and is subject to and qualified in its entirety by reference to all of the provisions of the indentures and the debt securities. You should refer to the indentures for complete information regarding the terms and provisions of the indentures and debt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otherwise provided in a supplemental indenture, our board of directors will set the particular terms of each series of debt securities, which will be described in a prospectus supplement relating to such series. We can issue an unlimited amount of debt securities under the indentures, in one or more series with the same or various maturities, at par, at a premium or at a discount. Among other things, the prospectus supplement relating to a series of debt securities being offered will address the following terms of the debt securities:</w:t>
      </w:r>
    </w:p>
    <w:p>
      <w:pPr>
        <w:spacing w:after="0" w:line="85"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and, if subordinated, any such provisions that are different from those described below under “Subordinated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when principal payments are due on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 debt securities, which may be fixed or variable, per annum or otherwise, and the method used to determine the rate(s), the dates on which interest will begin to accrue and be payable, and any regular record date for the interest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principal of, premium and interest on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governing redemption of the debt securities, including any redemption or purchase requirements pursuant to any sinking fund or analogous provisions or at the option of a holder of debt securities, and the redemption price and other detailed terms and provisions of such repurchase obligations;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restricting the incurrence of additional debt or the issuance of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of the debt securities payable upon declaration of acceleration of the maturity date, if other than the entire principal amount;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modified events of default from those described in this prospectus or in the indentures and any change in the acceleration provisions described in this prospectus or in the indentures;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modified covenants from those described in this prospectus or in the indentures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issue convertible debt securities. Any conversion provisions of a particular series of debt securities will be set forth in the officer’s certificate or supplemental indenture related to that series of debt securities and will be described in the relevant prospectus supplement. To the extent applicable, conversion may be mandatory, at the option of the holder or at our option, in which case the number of shares of common or preferred stock to be received upon conversion would be calculated as of a time and in the manner stated in the prospectus supplement.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a bank holding company, our ability to make payments on the debt securities will depend primarily on the receipt of dividends and other distributions from Renasant Bank. There are various regulatory restrictions on the ability of the Bank to pay dividends or make other distributions to the Company. Please refer to the discussion of these restrictions contained in “Description of Common Stock—Dividend Rights”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provide an overview of the U.S. federal income tax considerations and other special considerations applicable to any debt securities we offer for sale.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described in the applicable prospectus supplement, each debt security will be represented by either a certificate issued in definitive registered form (we will refer to any debt security represented by a certificated security as a “certificated debt security”) or one or more global securities registered in the name of a depositary, or its nominee (we will refer to any debt security represented by a global debt security as a “book-entry debt security”), in the aggregate principal amount of the series of debt securities. Except as described below under the heading “Global Debt Securities and Book-Entry System,” book-entry debt securities will not be certificated.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Certificated Debt Securities</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can transfer certificated debt securities (and the right to receive the principal of, premium and interest thereon) only by surrendering the certificate representing those certificated debt securities. Either we or the trustee will reissue the existing certificate, or issue a new certificate, to the new holder.</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There is no service charge, but we may require payment of a sum sufficient to cover any taxes or other governmental charges payable in connection with a transfer or exchange.</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Global Debt Securities and Book-Entry System</w:t>
      </w:r>
    </w:p>
    <w:p>
      <w:pPr>
        <w:spacing w:after="0" w:line="22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Depository Trust Corporation, or DTC, as the depositary, and registered in the name of Cede &amp; Co. (the depositary’s nominee).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which, in turn, is owned by a number of Direct Participants of DTC. Access to the DTC system is also available to others, such as both U.S. and non-U.S. securities brokers and dealers, banks, trust companies, and clearing corporations that clear through or maintain a direct or indirect custodial relationship with a Direct Participant (“Indirect Participants”). The rules applicable to DTC and its Participants are on file with the SEC.</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Beneficial interests in a global security representing outstanding debt securities of a series will be shown on, and transfers of beneficial interests in the global security will be made only through, records maintained by DTC and DTC’s Direct and Indirect Participants. Upon the issuance of a global debt security, the depositary will credit the Direct Participants’ accounts on its book-entry registration and transfer system with the respective principal amounts of the book-entry debt securities owned by such Direct Participants; the depositary will have no knowledge of the underlying beneficial owners of the book-entry debt securities owned by Direct Participants. Any dealers, underwriters or agents participating in the distribution of the book-entry debt securities will designate accounts to be credited. Ownership of book-entry debt securities will be shown on, and the transfer of such ownership interests will be effected only through, records maintained by the depositary for the related global debt security (with respect to interests of Direct Participants) and on the records of Direct Participants (with respect to interests of Indirect Participants). Some states may legally require certain purchasers to take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physical delivery of such securities, which may impair your ability to own, transfer or pledge beneficial interests in book-entry debt securities.</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debt security, DTC or its nominee, as the case may be, will be considered the sole owner or holder of the book-entry debt securities represented by such global debt security for all purposes under the indenture. This means that, except as described below, beneficial owners of book-entry debt securities will not be entitled to have securities registered in their names or to receive physical delivery of a certificate in definitive form nor will such beneficial owners be considered the owners or holders of those securities under the indenture. Accordingly, to exercise any rights of a holder under the indenture, each person beneficially owning book-entry debt securities must rely on DTC’s procedures for the related global debt security and, if such person is not a Participant, on the procedures of the participant through which such person owns its interest. As a beneficial owner of book-entry debt securities, information regarding your holdings will come through the Direct or Indirect Participant through which you own such securities.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above, under existing industry practice, the depositary may authorize persons on whose behalf it holds a global debt security to exercise certain of a holder’s rights. For purposes of obtaining any consents or directions required to be given by holders of the debt securities under the indenture, we, the trustee and our respective agents will treat as the holder of a debt security any persons specified in a written statement of the depositary with respect to that global debt security.</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payments of principal of, and premium and interest on, book-entry debt securities will be paid to DTC (or its nominee) as the registered holder of the related global debt security, and any redemption notices will be sent directly to DTC. Neither we, the trustee nor any other agent of ours or agent of the trustee will have any responsibility or liability for any aspect of the records relating to or payments made on account of beneficial ownership interests in a global debt security or for maintaining, supervising or reviewing any records relating to beneficial ownership interests. We expect DTC, upon receipt of any payment of principal of, premium or interest on a global debt security, to immediately credit Direct Participants’ accounts with payments ratably according to the respective amounts of book-entry debt securities held by each Direct Participant. We also expect that payments by Direct or Indirect Participants to owners of beneficial interests in book-entry debt securities held through those Direct and Indirect Participants will be governed by standing customer instructions and customary practices, similar to those for securities held in “street name.”</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at any time cannot or will not continue as depositary or ceases to be a clearing agency registered under the Exchange Act, and we fail to appoint a successor depositary registered as a clearing agency under the Exchange Act within 90 days. In addition, we may at any time and in our sole discretion decide not to have the book-entry debt securities represented by global debt securities; in that event, we will issue certificated debt securities in exchange for the global debt securities of that series. If an event of default with respect to the book-entry debt securities represented by those global debt securities has occurred and is continuing, holders may exchange global debt securities for certificated debt securities.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DTC and its book-entry system from sources we believe to be reliable, but we take no responsibility for the accuracy of this information.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affording holders of the debt securities protection, such as prior consent or acceleration rights, in the event we agree to a change in control or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any restrictive covenants applicable to any debt securities we offer for sale.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or merge with, or sell or lease all or substantially all of our properties and assets to, any person, which we refer to as a “successor,” unless:</w:t>
      </w:r>
    </w:p>
    <w:p>
      <w:pPr>
        <w:spacing w:after="0" w:line="67" w:lineRule="exact"/>
        <w:rPr>
          <w:sz w:val="20"/>
          <w:szCs w:val="20"/>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(if not us) is a corporation organized and existing under the laws of any U.S. domestic jurisdiction and expressly assumes our obligations on the debt securities and under the indenture;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the giving of notice or lapse of time or both, would become an event of default, shall have occurred and be continuing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subordinated debt securities issued under the subordinated debt indenture, in addition to any event of default described in the prospectus supplement applicable to that series, an event of default will include the following events:</w:t>
      </w:r>
    </w:p>
    <w:p>
      <w:pPr>
        <w:spacing w:after="0" w:line="67" w:lineRule="exact"/>
        <w:rPr>
          <w:sz w:val="20"/>
          <w:szCs w:val="20"/>
          <w:color w:val="auto"/>
        </w:rPr>
      </w:pPr>
    </w:p>
    <w:p>
      <w:pPr>
        <w:jc w:val="both"/>
        <w:ind w:left="10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any installment of interest on any debt security of that series, which default is not cured within 30 days (unless we deposit the entire amount of the interest installment with the trustee or with a paying agent prior to the expiration of this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principal of or premium on any debt security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when due of any sinking fund payment in respect of any debt security of that series;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any covenant or warranty in the indenture (other than a covenant or warranty included in the indenture solely for the benefit of a series of debt securities other than that series), which breach is not cured within 90 days after delivery of written notice thereof from the trustee to us or from the holders of not less than 25% in principal amount of the outstanding debt securities of that series to us and the trustee,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provided with respect to such series which is specified in a supplement to the indenture.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explain the events of default for any series of senior debt securities issued under the senior debt indenture which we believe will be substantially similar in all material respects to the events of default under the subordinated debt indenture. The applicable prospectus supplement will explain whether or not an event of default with respect to one series of debt securities will constitute a cross-default with respect to any other series of debt securities (except that certain events of bankruptcy, insolvency or reorganization will always constitute cross-defaults).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any outstanding series of subordinated debt securities occurs and is continuing, then the trustee or the holders of not less than 25% in principal amount of the outstanding debt securities of that series may, by written notice to us (and to the trustee if given by the holders), accelerate the payment of the principal (or, if the debt securities of that series are discount securities, that portion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principal amount as may be specified in the terms of that series) of and accrued and unpaid interest, if any, on all debt securities of that series. Such acceleration is automatic (with no notice required) in the case of an event of default resulting from certain events of bankruptcy, insolvency or reorganization. Following acceleration, payments on our subordinated debt securities, if any, will be subject to the subordination provisions described below under “Subordinated Debt Securities.” At any time after acceleration with respect to debt securities of any series, but before the trustee has obtained a court judgment or decree for payment of the amounts due,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expect that the senior debt indenture will contain provisions substantially similar in all material respects to the provisions of the subordinated debt indenture discussed in this paragraph which will be disclosed in the applicable prospectus supplement. The prospectus supplement relating to any series of debt securities that are discount securities will contain particular provisions relating to acceleration of a portion of the principal amount of such discount securities upon the occurrence of an event of default.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indentures provide that the trustee will be under no obligation to exercise any rights or powers under the indenture at the request of any holder of outstanding debt securities unless the trustee is indemnified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subordinated debt security may institute any proceeding, judicial or otherwise, with respect to the indenture or for the appointment of a receiver or trustee, or for any remedy under the subordinated debt indenture,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requested the trustee in writing (and offered reasonable indemnity to the trustee) to institute the proceeding (and have not subsequently given contrary instructions), and the trustee has failed to institute the proceeding within 60 days.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senior debt indenture will contain provisions substantially similar in all material respects to the provisions of the subordinated debt indenture discussed in this paragraph which will be disclosed in the applicable prospectus supplement.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indentures, we must furnish the trustee a statement as to compliance with the indenture within 120 days after the end of our fiscal year. The indentures provide that, other than with respect to payment defaults, the trustee may withhold notice to the holders of debt securities of any series of a default or event of default if it in good faith determines that withholding notice is in the interest of the holders of those debt securities.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may amend the subordinated debt indenture if the holders of at least a majority in principal amount of the outstanding subordinated debt securities of each series affected by the modifications or amendments consent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thereto. We may not make any amendment without the consent of the specific holder of an affected debt security then outstanding if that amendment will:</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securities whose holders must consent to any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on any debt security (except a rescission of acceleration by the holders of at least a majority in aggregate principal amount of the then outstanding debt securities of that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on any debt security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holders’ rights to receive payment of the principal of, premium and interest on those debt securities;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senior debt indenture will contain provisions substantially similar in all material respects to the provisions of the subordinated debt indenture discussed in this paragraph which will be disclosed in the applicable prospectus supplement.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all holders waive our compliance with provisions of the indentures. The holders of a majority in principal amount of the outstanding debt securities of any series may on behalf of all holders waive any past default under the indenture with respect to that series and its consequences, except a payment default or a default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227"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We may deposit with the trustee, in trust, cash or cash equivalents in an amount that, through the payment of interest and principal in accordance with their terms, is sufficient in the opinion of a regionally recognized firm of independent public accountants to make all payments of principal, premium and interest on, and any mandatory sinking fund payments in respect of, the subordinated debt securities of that series on the due dates for such payments in accordance with the terms of the subordinated debt indenture and those debt securities. If we make such a deposit, unless otherwise provided under the applicable series of subordinated debt securities, on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deposit we will be discharged from any and all obligations in respect of the subordinated debt securities of such series (except for obligations relating to the transfer or exchange of debt securities and the replacement of stolen, lost or mutilated debt securities and relating to maintaining paying agencies and the treatment of funds held by paying agents). However, this discharge may occur only if, among other things, we have delivered to the trustee an officer’s certificate and a legal opinion stating that we have received from, or there has been published by, the United States Internal Revenue Service a ruling or, since the date of execution of the subordinated debt indenture, there has been a change in the applicable U.S. federal income tax law, in either</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case to the effect that, and, based thereon confirming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227"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Under the subordinated debt indenture (and unless otherwise provided by the terms of the applicable series of subordinated debt securities), on and after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making the deposit and delivering the legal opinion described in “Legal Defeasance” above, we will not need to comply with the covenants described under the heading “Consolidation, Merger and Sale of Assets” and certain other covenants set forth in the indenture, as well as any additional covenants that may be set forth in the applicable supplemental indenture, and any such noncompliance will not constitute a default or an event of default with respect to the debt securities of that series. The foregoing is referred to as “covenant defeasance.”</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 and Events of Default</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exercise our option to effect covenant defeasance with respect to any series of subordinated debt securities and the subordinated debt securities of that series are declared due and payable because of the occurrence of any event of default, the amounts on deposit with the trustee will be sufficient to pay amounts due on the subordinated debt securities of that series at the time of their stated maturity but may not be sufficient to pay amounts due on the subordinated debt securities of that series at the time of the acceleration resulting from the event of default, we will remain liable for those payments.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the senior debt indenture will contain provisions substantially similar in all material respects to the provisions of the subordinated debt indentures discussed in this section “Defeasance of Debt Securities and Certain Covenants in Certain Circumstances,” which will be disclosed in the applicable prospectus supplement.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Wilmington Trust, National Association, is the Trustee under the subordinated debt indenture. From time to time, we, and one or more of our subsidiaries, may maintain deposit accounts and conduct other banking transactions, including lending transactions, with the Trustee in the ordinary course of business. Additionally, we maintain banking relationships with the Trustee and its affiliates in the ordinary course of business. These banking relationships include the Trustee serving as trustee under indentures involving certain of our trust preferred securities and junior subordinated debt securities.</w:t>
      </w:r>
    </w:p>
    <w:p>
      <w:pPr>
        <w:spacing w:after="0" w:line="183"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If we decide to sell any senior debt securities, we will select a trustee and disclose the name of that trustee in the applicable prospectus supplement.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the occurrence of an event which, after notice or lapse of time or both, would become an event of default under any of our debt securities, or upon the occurrence of an event of default under another indenture under which our Trustee may serve as trustee, our Trustee may be deemed to have a conflicting interest. Under such circumstances, our Trustee must eliminate the conflict or resign. In that event, we would be required to appoint a successor trustee.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subordinated debt indenture governs the extent to which payment on any subordinated debt securities will be subordinated to the prior payment in full of all of our senior indebtedness. The subordinated debt securities also are effectively subordinated to all debt and other liabilities, including trade payables and lease obligations, if any, of our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principal and interest on subordinated debt securities will be subordinated to the prior payment in full of all senior indebtedness in cash or other payment satisfactory to the holders of such senior indebtedness. If subordinated debt securities are accelerated because of an event of default, the holders of any senior indebtedness will be entitled to payment in full in cash or other payment satisfactory to such holders of all senior indebtedness obligations before the holders of the subordinated debt securities are entitled to receive any payment or distribution. The indenture requires us or the trustee to promptly notify holders of designated senior indebtedness of any acceleration of payment of the subordinated debt securities.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make any payment on the subordinated debt securities, including upon redemption (whether at the holder’s or our option) if:</w:t>
      </w:r>
    </w:p>
    <w:p>
      <w:pPr>
        <w:spacing w:after="0" w:line="131" w:lineRule="exact"/>
        <w:rPr>
          <w:sz w:val="20"/>
          <w:szCs w:val="20"/>
          <w:color w:val="auto"/>
        </w:rPr>
      </w:pPr>
    </w:p>
    <w:p>
      <w:pPr>
        <w:ind w:left="1080" w:right="2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grace period (called a “payment default”);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that permits holders of designated senior indebtedness to accelerate its maturity occurs and is continuing, and the trustee receives a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resume payments and distributions on the subordinated debt securities, in the case of a payment default, upon the date on which such default is cured or waived or ceases to exist; and, in the case of a non-payment default, the earlier of the date on which such nonpayment default is cured or waived and 179 days after the date on which the payment blockage notice is received, if the maturity of the designated senior indebtedness has not been accelerated.</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new payment blockage period may be commenced pursuant to a payment blockage notice unless 365 days have elapsed since the initial effectiveness of the immediately prior payment blockage notice and all scheduled payments on the debt securities that have come due have been paid in full in cash. Generally, a non-payment default existing or continuing on the date of delivery of any payment blockage notice cannot be the basis for any later payment blockage notice.</w:t>
      </w:r>
    </w:p>
    <w:p>
      <w:pPr>
        <w:spacing w:after="0" w:line="180"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If the trustee or any holder of the subordinated debt securities receives any payment or distribution of our assets in contravention of the foregoing subordination provisions,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5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Company’s bankruptcy, dissolution or reorganization, holders of senior indebtedness may receive more, ratably, and holders of the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prohibit us from incurring debt, including senior indebtedness. We may from time to time incur additional debt, including senior indebtedness.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it against certain losses, liabilities or expenses it incurs in connection with its duties relating to the subordinated debt securities. The trustee’s claims for these payments will generally be senior to those of holders of subordinated debt securities in respect of all funds collected or held by the trustee.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131" w:lineRule="exact"/>
        <w:rPr>
          <w:sz w:val="20"/>
          <w:szCs w:val="20"/>
          <w:color w:val="auto"/>
        </w:rPr>
      </w:pPr>
    </w:p>
    <w:p>
      <w:pPr>
        <w:ind w:left="1080" w:right="8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130"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under leases required by generally accepted accounting principles to be accounted for as finance lease obligations on our balance sheet;</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real property lease or related document which contractually obligates us to purchase or cause a third party to purchase the leased property and thereby guarantee a minimum residual value of the leased property to the lessor;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interest rate or other swaps, caps or collar agreements or other similar instruments or agreements;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indebtedness, obligations or liabilities of others of the type described in</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(5) above;</w:t>
      </w:r>
    </w:p>
    <w:p>
      <w:pPr>
        <w:spacing w:after="0" w:line="112"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we own or hold;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or other obligation described in clauses (1) through (7) above.</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Senior indebtedness does not include:</w:t>
      </w:r>
    </w:p>
    <w:p>
      <w:pPr>
        <w:spacing w:after="0" w:line="85" w:lineRule="exact"/>
        <w:rPr>
          <w:sz w:val="20"/>
          <w:szCs w:val="20"/>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subordinated debt indenture and the subordinated debt securities are governed by and construed in accordance with the laws of the State of New York. Unless otherwise set forth in the prospectus supplement applicable to the particular series of senior debt securities, the senior debt indenture and the senior debt securities will be governed by, and construed in accordance with, the laws of the State of Mississippi.</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securities that we may offer to our shareholders. Rights may be issued independently or together with any other offered security and may or may not be transferable by the person purchasing or receiving the rights. In connection with any rights offering to our shareholders, we may enter into a standby underwriting or other arrangement with one or more underwriters or other persons pursuant to which such underwriters or other person would purchase any offered securities remaining unsubscribed for after such rights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series of rights will be issued under a separate rights agent agreement to be entered into between us and a bank or trust company, as rights agent, that we will name in the applicable prospectus supplement.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rights we may offer, and any description in the applicable prospectus supplement and other offering material of such rights, is only a summary and is qualified in its entirety by reference to the applicable rights agent agreement, which we will file with the SEC in connection with any offers of rights. You should refer to, and carefully read in their entirety this summary, the prospectus supplement and any other offering material together with, the rights agent agreement, relating to the specific rights that we may offer to understand all of the terms of the rights agent agreement and the rights.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prospectus supplement relating to any rights we offer will include specific terms relating to the offering, including, among others, the date of determining the shareholders entitled to the rights distribution, the aggregate number of rights issued and the aggregate amount of securities purchasable upon exercise of the rights, the exercise price, the conditions to completion of the offering, the date on which the right to exercise the rights will commence and the date on which the right will expire, and any applicable U.S. Federal income tax considerations. To the extent that any particular terms of the rights, rights agent agreements or rights certificates described in a prospectus supplement differ from any of the terms described here, then the terms described here will be deemed to have been superseded by that prospectus supplement.</w:t>
      </w:r>
    </w:p>
    <w:p>
      <w:pPr>
        <w:spacing w:after="0" w:line="187"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Each right entitles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become void and of no further force or effect.</w:t>
      </w:r>
    </w:p>
    <w:p>
      <w:pPr>
        <w:spacing w:after="0" w:line="15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section, we describe the general terms and provisions of the warrants that we may offer from time to time. We will issue each series of warrants under a separate warrant agreement to be entered into between us and a warrant agent who will be specified in the warrant agreement and in the applicable prospectus supplement. The warrant agent will act solely as our agent in connection with the warrants of that series and will not assume any obligation or relationship of agency or trust for or with any holders or beneficial owners of warrants.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warrants we may offer, and any description in the applicable prospectus supplement and other offering material of such warrants, is only a summary and is qualified in its entirety by reference to the applicable warrant agreement and related warrant certificate, both of which we will file with the SEC in connection with any offers of warrants. You should refer to, and read in their entirety this summary, the prospectus supplement and any other offering material together with, the warrant agreement, including the forms of warrant certificates representing the warrants, relating to the specific warrants that we may offer to understand all of the terms of the warrant agreement and the warrants.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warrants to purchase other securities. Warrants may be issued independently or together with debt securities or capital stock offered by any prospectus supplement and may be attached to or separate from any such offered securities. The applicable prospectus supplement related to an issuance of warrants will describe the terms of such warrants, including the following, as applicable:</w:t>
      </w:r>
    </w:p>
    <w:p>
      <w:pPr>
        <w:spacing w:after="0" w:line="85"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warrants to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 and the exercise price for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and any other provisions to adjust the number or amount of securities to be delivered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securities purchasable upon exercise of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in registered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registration and transfer procedures,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considerations relating to U.S. federal income tax laws and the federal Employee Retirement Income Security Act of 1974, as amended;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exercisable for shares of common stock, preferred stock or other securities will not have any rights of holders of the common stock, preferred stock or other securities, as applicable, purchasable upon such exercise, including any rights to vote such shares or to receive any distributions or dividends thereon.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Warrant certificates may be exchanged for new warrant certificates of different denominations.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number of shares of preferred stock, common stock or such other securities for cash at the exercise price stated in, or calculable as described in, the applicable prospectus supplement and warrant agreement. Warrants may be exercised at the warrant agent’s corporate trust office or any other office indicated in the applicable prospectus supplement and otherwise in accordance with the procedures set forth in the applicable prospectus supplement. Upon the proper exercise of the warrants and our receipt of the full exercise price, we will, as soon as practicable, forward the purchased securities. If less than all of the warrants are exercised, a new warrant certificate will be issued for the remaining warrants.</w:t>
      </w:r>
    </w:p>
    <w:p>
      <w:pPr>
        <w:spacing w:after="0" w:line="18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Warrants may be exercised at any time prior to the close of business on the expiration date. After the close of business on the expiration date (or such later date to which we may extend the expiration date of the warrants), unexercised warrants will be void and have no further force, effect or value.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Governing Law</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warrants, without the consent of the warrant agent, may, on their own behalf and for their own benefit, enforce, and may institute and maintain any suit, action or proceeding against us to enforce, their rights to exercise and receive the securities purchasable upon exercise of their warrants. Unless otherwise stated in the applicable prospectus supplement, each issue of warrants and the applicable warrant agreement will be governed by the laws of the State of Mississippi.</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This section outlines the general terms and provisions of the units that we may offer from time to time. We may issue units comprising one or more of the securities described in this prospectus in any combination. The applicable prospectus supplement will describe the specific terms and conditions of any units that we issue.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issue each unit so that the holder of the unit also is the holder of each security included in the unit. Thus, the holder of a unit will have the rights and obligations of a holder of each included security. A unit agreement will govern the terms of any units we issue. This unit agreement may provide that the securities included in the unit may not be held or transferred separately at any time or before a specified date. There may or may not be an active market for units or the underlying securities, and not all the securities comprising a unit may be listed or traded on a securities exchange or market.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the prospectus supplement relating to any units that we issue will specify the following terms of such units:</w:t>
      </w:r>
    </w:p>
    <w:p>
      <w:pPr>
        <w:spacing w:after="0" w:line="131" w:lineRule="exact"/>
        <w:rPr>
          <w:sz w:val="20"/>
          <w:szCs w:val="20"/>
          <w:color w:val="auto"/>
        </w:rPr>
      </w:pPr>
    </w:p>
    <w:p>
      <w:pPr>
        <w:ind w:left="1080" w:right="8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the terms of any of the common stock, preferred stock, depositary shares, debt securities and warrants comprising the units, including whether and under what circumstances the units may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payment, settlement, transfer or exchange of the units or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fully registered or in global form.</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foregoing description of the units we may offer, and any description in the applicable prospectus supplement and other offering material of such units, is only a summary and is qualified in its entirety by reference to the applicable unit agreement, which we will file with the SEC in connection with any offers of units. You should refer to, and carefully read in their entirety this summary, the prospectus supplement and any other offering material together with, the unit agreement, relating to the specific units that we may offer to understand all of the terms of the unit agreement and the units.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Phelps Dunbar LLP, our counsel, will pass upon certain legal matters with respect to the securities offered by us from time to time pursuant to this prospectus, unless otherwise indicated in the applicable prospectus supplement. Phelps Dunbar LLP also provides legal advice to us on a regular basis.</w:t>
      </w:r>
    </w:p>
    <w:p>
      <w:pPr>
        <w:spacing w:after="0" w:line="14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the law firm advising any underwriters or agents with respect to certain issues relating to any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Renasant Corporation as of December 31, 2023 and 2022, and for each of the years in the three-year period ended December 31, 2023, and management’s assessment of the effectiveness of internal control over financial reporting as of December 31, 2023, included in Renasant’s Annual Report on Form 10-K for the fiscal year ended December 31, 2023, have been incorporated by reference herein in reliance upon the report of HORNE LLP, independent registered public accounting firm, incorporated by reference herein, and upon the authority of said firm as experts in accounting and auditing.</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First as of December 31, 2023 and 2022, and for the years then ended, have been audited by FORVIS, LLP, independent registered public accounting firm, as set forth in their report therein, included in The First’s Annual Report on Form 10-K for the fiscal year ended December 31, 2023 and in Renasant’s Current Report on Form 8-K filed on July 29, 2024, have been incorporated by reference herein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652780</wp:posOffset>
            </wp:positionV>
            <wp:extent cx="2211705" cy="659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2211705" cy="65976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0" w:lineRule="exact"/>
        <w:rPr>
          <w:sz w:val="20"/>
          <w:szCs w:val="20"/>
          <w:color w:val="auto"/>
        </w:rPr>
      </w:pPr>
    </w:p>
    <w:p>
      <w:pPr>
        <w:spacing w:after="0" w:line="24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4"/>
          <w:szCs w:val="24"/>
          <w:b w:val="1"/>
          <w:bCs w:val="1"/>
          <w:color w:val="auto"/>
        </w:rPr>
        <w:t>   % Fixed-to-Floating Rate Subordinated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760095</wp:posOffset>
            </wp:positionV>
            <wp:extent cx="1474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Lead Book Running Manager</w:t>
      </w:r>
    </w:p>
    <w:p>
      <w:pPr>
        <w:spacing w:after="0" w:line="9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9"/>
          <w:szCs w:val="29"/>
          <w:b w:val="1"/>
          <w:bCs w:val="1"/>
          <w:color w:val="auto"/>
        </w:rPr>
        <w:t>Keefe, Bruyette &amp; Woods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i w:val="1"/>
          <w:iCs w:val="1"/>
          <w:color w:val="auto"/>
        </w:rPr>
        <w:t>                      A Stifel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400685</wp:posOffset>
            </wp:positionV>
            <wp:extent cx="1474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Active Book Running Manager</w:t>
      </w:r>
    </w:p>
    <w:p>
      <w:pPr>
        <w:spacing w:after="0" w:line="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9"/>
          <w:szCs w:val="29"/>
          <w:b w:val="1"/>
          <w:bCs w:val="1"/>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i w:val="1"/>
          <w:iCs w:val="1"/>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lowerRoman"/>
      <w:start w:val="11"/>
    </w:lvl>
  </w:abstractNum>
  <w:abstractNum w:abstractNumId="3">
    <w:nsid w:val="440BADFC"/>
    <w:multiLevelType w:val="hybridMultilevel"/>
    <w:lvl w:ilvl="0">
      <w:lvlJc w:val="left"/>
      <w:lvlText w:val="(%1)"/>
      <w:numFmt w:val="lowerRoman"/>
      <w:start w:val="15"/>
    </w:lvl>
  </w:abstractNum>
  <w:abstractNum w:abstractNumId="4">
    <w:nsid w:val="5072367"/>
    <w:multiLevelType w:val="hybridMultilevel"/>
    <w:lvl w:ilvl="0">
      <w:lvlJc w:val="left"/>
      <w:lvlText w:val="(%1)"/>
      <w:numFmt w:val="lowerRoman"/>
      <w:start w:val="22"/>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4"/>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3"/>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lvl w:ilvl="1">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jpe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3"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jpe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4" Type="http://schemas.openxmlformats.org/officeDocument/2006/relationships/hyperlink" Target="http://www.sec.gov/ix?doc=/Archives/edgar/data/0000715072/000071507226000017/rnst-20251231.htm" TargetMode="External"/><Relationship Id="rId15" Type="http://schemas.openxmlformats.org/officeDocument/2006/relationships/hyperlink" Target="http://www.sec.gov/ix?doc=/Archives/edgar/data/0000715072/000071507226000030/rnst-20260316.htm" TargetMode="External"/><Relationship Id="rId16" Type="http://schemas.openxmlformats.org/officeDocument/2006/relationships/hyperlink" Target="http://www.sec.gov/ix?doc=/Archives/edgar/data/0000715072/000071507226000023/rnst-20260311.htm" TargetMode="External"/><Relationship Id="rId17" Type="http://schemas.openxmlformats.org/officeDocument/2006/relationships/hyperlink" Target="http://www.sec.gov/ix?doc=/Archives/edgar/data/0000715072/000071507226000042/rnst-20260428.htm" TargetMode="External"/><Relationship Id="rId81" Type="http://schemas.openxmlformats.org/officeDocument/2006/relationships/hyperlink" Target="http://www.sec.gov/Archives/edgar/data/715072/000071507224000042/rnst-20231231.htm" TargetMode="External"/><Relationship Id="rId82" Type="http://schemas.openxmlformats.org/officeDocument/2006/relationships/hyperlink" Target="http://www.sec.gov/Archives/edgar/data/715072/000071507224000057/rnst-20240313.htm" TargetMode="External"/><Relationship Id="rId84" Type="http://schemas.openxmlformats.org/officeDocument/2006/relationships/hyperlink" Target="http://www.sec.gov/Archives/edgar/data/715072/000071507224000130/rnst-20240331.htm" TargetMode="External"/><Relationship Id="rId85" Type="http://schemas.openxmlformats.org/officeDocument/2006/relationships/hyperlink" Target="http://www.sec.gov/Archives/edgar/data/715072/000071507224000155/rnst-20240630.htm" TargetMode="External"/><Relationship Id="rId86" Type="http://schemas.openxmlformats.org/officeDocument/2006/relationships/hyperlink" Target="http://www.sec.gov/Archives/edgar/data/715072/000071507224000186/rnst-20240930.htm" TargetMode="External"/><Relationship Id="rId87" Type="http://schemas.openxmlformats.org/officeDocument/2006/relationships/hyperlink" Target="http://www.sec.gov/Archives/edgar/data/715072/000071507224000089/rnst-20240423.htm" TargetMode="External"/><Relationship Id="rId88" Type="http://schemas.openxmlformats.org/officeDocument/2006/relationships/hyperlink" Target="http://www.sec.gov/Archives/edgar/data/715072/000071507224000117/rnst-20240421.htm" TargetMode="External"/><Relationship Id="rId89" Type="http://schemas.openxmlformats.org/officeDocument/2006/relationships/hyperlink" Target="http://www.sec.gov/Archives/edgar/data/715072/000071507224000141/rnst-20240702.htm" TargetMode="External"/><Relationship Id="rId90" Type="http://schemas.openxmlformats.org/officeDocument/2006/relationships/hyperlink" Target="http://www.sec.gov/Archives/edgar/data/715072/000119312524187608/d860233d8k.htm" TargetMode="External"/><Relationship Id="rId91" Type="http://schemas.openxmlformats.org/officeDocument/2006/relationships/hyperlink" Target="http://www.sec.gov/Archives/edgar/data/715072/000119312524188883/d808891d8k.htm" TargetMode="External"/><Relationship Id="rId92" Type="http://schemas.openxmlformats.org/officeDocument/2006/relationships/hyperlink" Target="http://www.sec.gov/Archives/edgar/data/715072/000071507224000179/rnst-20241022.htm" TargetMode="External"/><Relationship Id="rId93" Type="http://schemas.openxmlformats.org/officeDocument/2006/relationships/hyperlink" Target="http://www.sec.gov/Archives/edgar/data/715072/000071507224000197/rnst-20241217.htm" TargetMode="External"/><Relationship Id="rId94" Type="http://schemas.openxmlformats.org/officeDocument/2006/relationships/hyperlink" Target="http://www.sec.gov/Archives/edgar/data/715072/000071507224000159/a8-aa8282024.htm" TargetMode="External"/><Relationship Id="rId95" Type="http://schemas.openxmlformats.org/officeDocument/2006/relationships/hyperlink" Target="http://www.sec.gov/Archives/edgar/data/715072/000071507224000155/descriptionofcommonstock-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2026-05-04T07:48:53Z</dcterms:created>
  <dcterms:modified xsi:type="dcterms:W3CDTF">2026-05-04T07:48:53Z</dcterms:modified>
</cp:coreProperties>
</file>