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6"/>
          <w:szCs w:val="16"/>
          <w:color w:val="auto"/>
        </w:rPr>
        <w:t>UNITED STATES</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Washington, D.C. 20549</w:t>
      </w:r>
    </w:p>
    <w:p>
      <w:pPr>
        <w:spacing w:after="0" w:line="1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FORM 10-K</w:t>
      </w:r>
    </w:p>
    <w:p>
      <w:pPr>
        <w:spacing w:after="0" w:line="222" w:lineRule="exact"/>
        <w:rPr>
          <w:sz w:val="24"/>
          <w:szCs w:val="24"/>
          <w:color w:val="auto"/>
        </w:rPr>
      </w:pPr>
    </w:p>
    <w:p>
      <w:pPr>
        <w:ind w:left="2040" w:hanging="182"/>
        <w:spacing w:after="0"/>
        <w:tabs>
          <w:tab w:leader="none" w:pos="20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ANNUAL REPORT PURSUANT TO SECTION 13 OR 15(d) OF THE SECURITIES EXCHANGE ACT OF 1934</w:t>
      </w:r>
    </w:p>
    <w:p>
      <w:pPr>
        <w:spacing w:after="0" w:line="2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For the fiscal year ended December 31, 2025</w:t>
      </w:r>
    </w:p>
    <w:p>
      <w:pPr>
        <w:spacing w:after="0" w:line="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or</w:t>
      </w:r>
    </w:p>
    <w:p>
      <w:pPr>
        <w:spacing w:after="0" w:line="92" w:lineRule="exact"/>
        <w:rPr>
          <w:sz w:val="24"/>
          <w:szCs w:val="24"/>
          <w:color w:val="auto"/>
        </w:rPr>
      </w:pPr>
    </w:p>
    <w:p>
      <w:pPr>
        <w:ind w:left="2800" w:right="1700" w:hanging="1082"/>
        <w:spacing w:after="0" w:line="390" w:lineRule="auto"/>
        <w:tabs>
          <w:tab w:leader="none" w:pos="1894"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TRANSITION REPORT PURSUANT TO SECTION 13 OR 15(d) OF THE SECURITIES EXCHANGE ACT OF 1934 For the transition period from ______________________to _______________________</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Commission file number 001-13253</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RENASANT CORPORATION</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240"/>
          </w:cols>
          <w:pgMar w:left="320" w:top="1020" w:right="339" w:bottom="1440" w:gutter="0" w:footer="0" w:header="0"/>
        </w:sectPr>
      </w:pPr>
    </w:p>
    <w:p>
      <w:pPr>
        <w:spacing w:after="0" w:line="22"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5"/>
          <w:szCs w:val="15"/>
          <w:color w:val="auto"/>
        </w:rPr>
        <w:t>Mississippi</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64-0676974</w:t>
      </w:r>
    </w:p>
    <w:p>
      <w:pPr>
        <w:spacing w:after="0" w:line="38" w:lineRule="exact"/>
        <w:rPr>
          <w:sz w:val="24"/>
          <w:szCs w:val="24"/>
          <w:color w:val="auto"/>
        </w:rPr>
      </w:pPr>
    </w:p>
    <w:p>
      <w:pPr>
        <w:sectPr>
          <w:pgSz w:w="11900" w:h="16838" w:orient="portrait"/>
          <w:cols w:equalWidth="0" w:num="2">
            <w:col w:w="7480" w:space="720"/>
            <w:col w:w="3040"/>
          </w:cols>
          <w:pgMar w:left="320" w:top="1020" w:right="339" w:bottom="1440" w:gutter="0" w:footer="0" w:header="0"/>
          <w:type w:val="continuous"/>
        </w:sectPr>
      </w:pPr>
    </w:p>
    <w:p>
      <w:pPr>
        <w:ind w:left="1620"/>
        <w:spacing w:after="0"/>
        <w:rPr>
          <w:sz w:val="20"/>
          <w:szCs w:val="20"/>
          <w:color w:val="auto"/>
        </w:rPr>
      </w:pPr>
      <w:r>
        <w:rPr>
          <w:rFonts w:ascii="Times New Roman" w:cs="Times New Roman" w:eastAsia="Times New Roman" w:hAnsi="Times New Roman"/>
          <w:sz w:val="15"/>
          <w:szCs w:val="15"/>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(I.R.S. Employer</w:t>
      </w:r>
    </w:p>
    <w:p>
      <w:pPr>
        <w:spacing w:after="0" w:line="38" w:lineRule="exact"/>
        <w:rPr>
          <w:sz w:val="24"/>
          <w:szCs w:val="24"/>
          <w:color w:val="auto"/>
        </w:rPr>
      </w:pPr>
    </w:p>
    <w:p>
      <w:pPr>
        <w:sectPr>
          <w:pgSz w:w="11900" w:h="16838" w:orient="portrait"/>
          <w:cols w:equalWidth="0" w:num="2">
            <w:col w:w="7320" w:space="720"/>
            <w:col w:w="3200"/>
          </w:cols>
          <w:pgMar w:left="320" w:top="1020" w:right="339" w:bottom="1440" w:gutter="0" w:footer="0" w:header="0"/>
          <w:type w:val="continuous"/>
        </w:sectPr>
      </w:pPr>
    </w:p>
    <w:p>
      <w:pPr>
        <w:ind w:left="1580"/>
        <w:spacing w:after="0"/>
        <w:rPr>
          <w:sz w:val="20"/>
          <w:szCs w:val="20"/>
          <w:color w:val="auto"/>
        </w:rPr>
      </w:pPr>
      <w:r>
        <w:rPr>
          <w:rFonts w:ascii="Times New Roman" w:cs="Times New Roman" w:eastAsia="Times New Roman" w:hAnsi="Times New Roman"/>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Identification No.)</w:t>
      </w:r>
    </w:p>
    <w:p>
      <w:pPr>
        <w:spacing w:after="0" w:line="156" w:lineRule="exact"/>
        <w:rPr>
          <w:sz w:val="24"/>
          <w:szCs w:val="24"/>
          <w:color w:val="auto"/>
        </w:rPr>
      </w:pPr>
    </w:p>
    <w:p>
      <w:pPr>
        <w:sectPr>
          <w:pgSz w:w="11900" w:h="16838" w:orient="portrait"/>
          <w:cols w:equalWidth="0" w:num="2">
            <w:col w:w="7260" w:space="720"/>
            <w:col w:w="3260"/>
          </w:cols>
          <w:pgMar w:left="320" w:top="1020" w:right="339" w:bottom="1440" w:gutter="0" w:footer="0" w:header="0"/>
          <w:type w:val="continuous"/>
        </w:sectPr>
      </w:pPr>
    </w:p>
    <w:p>
      <w:pPr>
        <w:ind w:left="1220"/>
        <w:spacing w:after="0"/>
        <w:rPr>
          <w:sz w:val="20"/>
          <w:szCs w:val="20"/>
          <w:color w:val="auto"/>
        </w:rPr>
      </w:pPr>
      <w:r>
        <w:rPr>
          <w:rFonts w:ascii="Times New Roman" w:cs="Times New Roman" w:eastAsia="Times New Roman" w:hAnsi="Times New Roman"/>
          <w:sz w:val="15"/>
          <w:szCs w:val="15"/>
          <w:color w:val="auto"/>
        </w:rPr>
        <w:t>209 Troy Street, Tupelo,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Mississippi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38804-4827</w:t>
      </w:r>
    </w:p>
    <w:p>
      <w:pPr>
        <w:spacing w:after="0" w:line="38" w:lineRule="exact"/>
        <w:rPr>
          <w:sz w:val="24"/>
          <w:szCs w:val="24"/>
          <w:color w:val="auto"/>
        </w:rPr>
      </w:pPr>
    </w:p>
    <w:p>
      <w:pPr>
        <w:sectPr>
          <w:pgSz w:w="11900" w:h="16838" w:orient="portrait"/>
          <w:cols w:equalWidth="0" w:num="3">
            <w:col w:w="2760" w:space="240"/>
            <w:col w:w="4460" w:space="720"/>
            <w:col w:w="3060"/>
          </w:cols>
          <w:pgMar w:left="320" w:top="1020" w:right="339" w:bottom="1440" w:gutter="0" w:footer="0" w:header="0"/>
          <w:type w:val="continuous"/>
        </w:sectPr>
      </w:pPr>
    </w:p>
    <w:p>
      <w:pPr>
        <w:ind w:left="1180"/>
        <w:spacing w:after="0"/>
        <w:rPr>
          <w:sz w:val="20"/>
          <w:szCs w:val="20"/>
          <w:color w:val="auto"/>
        </w:rPr>
      </w:pPr>
      <w:r>
        <w:rPr>
          <w:rFonts w:ascii="Times New Roman" w:cs="Times New Roman" w:eastAsia="Times New Roman" w:hAnsi="Times New Roman"/>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(Zip Code)</w:t>
      </w:r>
    </w:p>
    <w:p>
      <w:pPr>
        <w:spacing w:after="0" w:line="200" w:lineRule="exact"/>
        <w:rPr>
          <w:sz w:val="24"/>
          <w:szCs w:val="24"/>
          <w:color w:val="auto"/>
        </w:rPr>
      </w:pPr>
    </w:p>
    <w:p>
      <w:pPr>
        <w:sectPr>
          <w:pgSz w:w="11900" w:h="16838" w:orient="portrait"/>
          <w:cols w:equalWidth="0" w:num="2">
            <w:col w:w="7480" w:space="720"/>
            <w:col w:w="3040"/>
          </w:cols>
          <w:pgMar w:left="320" w:top="1020" w:right="339" w:bottom="1440" w:gutter="0" w:footer="0" w:header="0"/>
          <w:type w:val="continuous"/>
        </w:sectPr>
      </w:pPr>
    </w:p>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(662) 680-1001</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(Registrant’s telephone number, including area code)</w:t>
      </w:r>
    </w:p>
    <w:p>
      <w:pPr>
        <w:spacing w:after="0" w:line="11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ectPr>
          <w:pgSz w:w="11900" w:h="16838" w:orient="portrait"/>
          <w:cols w:equalWidth="0" w:num="1">
            <w:col w:w="11240"/>
          </w:cols>
          <w:pgMar w:left="320" w:top="1020" w:right="339" w:bottom="1440" w:gutter="0" w:footer="0" w:header="0"/>
          <w:type w:val="continuous"/>
        </w:sectPr>
      </w:pPr>
    </w:p>
    <w:p>
      <w:pPr>
        <w:spacing w:after="0" w:line="40"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5"/>
          <w:szCs w:val="15"/>
          <w:color w:val="auto"/>
        </w:rPr>
        <w:t>Title of each class</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Trading Symbol(s)</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Name of each exchange on which registered</w:t>
      </w:r>
    </w:p>
    <w:p>
      <w:pPr>
        <w:spacing w:after="0" w:line="38" w:lineRule="exact"/>
        <w:rPr>
          <w:sz w:val="24"/>
          <w:szCs w:val="24"/>
          <w:color w:val="auto"/>
        </w:rPr>
      </w:pPr>
    </w:p>
    <w:p>
      <w:pPr>
        <w:sectPr>
          <w:pgSz w:w="11900" w:h="16838" w:orient="portrait"/>
          <w:cols w:equalWidth="0" w:num="3">
            <w:col w:w="4300" w:space="720"/>
            <w:col w:w="1980" w:space="720"/>
            <w:col w:w="3520"/>
          </w:cols>
          <w:pgMar w:left="320" w:top="1020" w:right="339" w:bottom="1440" w:gutter="0" w:footer="0" w:header="0"/>
          <w:type w:val="continuous"/>
        </w:sectPr>
      </w:pPr>
    </w:p>
    <w:p>
      <w:pPr>
        <w:ind w:left="800"/>
        <w:spacing w:after="0"/>
        <w:rPr>
          <w:sz w:val="20"/>
          <w:szCs w:val="20"/>
          <w:color w:val="auto"/>
        </w:rPr>
      </w:pPr>
      <w:r>
        <w:rPr>
          <w:rFonts w:ascii="Times New Roman" w:cs="Times New Roman" w:eastAsia="Times New Roman" w:hAnsi="Times New Roman"/>
          <w:sz w:val="15"/>
          <w:szCs w:val="15"/>
          <w:color w:val="auto"/>
        </w:rPr>
        <w:t>Common stock, $5.00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RNST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The New York Stock Exchange</w:t>
      </w:r>
    </w:p>
    <w:p>
      <w:pPr>
        <w:spacing w:after="0" w:line="211" w:lineRule="exact"/>
        <w:rPr>
          <w:sz w:val="24"/>
          <w:szCs w:val="24"/>
          <w:color w:val="auto"/>
        </w:rPr>
      </w:pPr>
    </w:p>
    <w:p>
      <w:pPr>
        <w:sectPr>
          <w:pgSz w:w="11900" w:h="16838" w:orient="portrait"/>
          <w:cols w:equalWidth="0" w:num="3">
            <w:col w:w="4680" w:space="720"/>
            <w:col w:w="2000" w:space="720"/>
            <w:col w:w="3120"/>
          </w:cols>
          <w:pgMar w:left="320" w:top="1020" w:right="339" w:bottom="1440" w:gutter="0" w:footer="0" w:header="0"/>
          <w:type w:val="continuous"/>
        </w:sectPr>
      </w:pP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12(g) of the Act: None</w:t>
      </w:r>
    </w:p>
    <w:p>
      <w:pPr>
        <w:sectPr>
          <w:pgSz w:w="11900" w:h="16838" w:orient="portrait"/>
          <w:cols w:equalWidth="0" w:num="1">
            <w:col w:w="11240"/>
          </w:cols>
          <w:pgMar w:left="320" w:top="1020" w:right="339" w:bottom="1440" w:gutter="0" w:footer="0" w:header="0"/>
          <w:type w:val="continuous"/>
        </w:sectPr>
      </w:pP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81" w:lineRule="exact"/>
        <w:rPr>
          <w:sz w:val="24"/>
          <w:szCs w:val="24"/>
          <w:color w:val="auto"/>
        </w:rPr>
      </w:pPr>
    </w:p>
    <w:p>
      <w:pPr>
        <w:sectPr>
          <w:pgSz w:w="11900" w:h="16838" w:orient="portrait"/>
          <w:cols w:equalWidth="0" w:num="2">
            <w:col w:w="7420" w:space="200"/>
            <w:col w:w="3620"/>
          </w:cols>
          <w:pgMar w:left="320" w:top="1020" w:right="339" w:bottom="1440" w:gutter="0" w:footer="0" w:header="0"/>
          <w:type w:val="continuous"/>
        </w:sectPr>
      </w:pPr>
    </w:p>
    <w:p>
      <w:pPr>
        <w:spacing w:after="0" w:line="184" w:lineRule="exact"/>
        <w:tabs>
          <w:tab w:leader="none" w:pos="7740" w:val="left"/>
        </w:tabs>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r>
      <w:r>
        <w:rPr>
          <w:sz w:val="20"/>
          <w:szCs w:val="20"/>
          <w:color w:val="auto"/>
        </w:rPr>
        <w:tab/>
      </w: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2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12" w:lineRule="exact"/>
        <w:rPr>
          <w:sz w:val="24"/>
          <w:szCs w:val="24"/>
          <w:color w:val="auto"/>
        </w:rPr>
      </w:pPr>
    </w:p>
    <w:p>
      <w:pPr>
        <w:spacing w:after="0" w:line="322"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0" w:lineRule="exact"/>
        <w:rPr>
          <w:sz w:val="24"/>
          <w:szCs w:val="24"/>
          <w:color w:val="auto"/>
        </w:rPr>
      </w:pPr>
    </w:p>
    <w:tbl>
      <w:tblPr>
        <w:tblLayout w:type="fixed"/>
        <w:tblInd w:w="20" w:type="dxa"/>
        <w:tblCellMar>
          <w:top w:w="0" w:type="dxa"/>
          <w:left w:w="0" w:type="dxa"/>
          <w:bottom w:w="0" w:type="dxa"/>
          <w:right w:w="0" w:type="dxa"/>
        </w:tblCellMar>
      </w:tblPr>
      <w:tr>
        <w:trPr>
          <w:trHeight w:val="263"/>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140" w:type="dxa"/>
            <w:vAlign w:val="bottom"/>
          </w:tcPr>
          <w:p>
            <w:pPr>
              <w:ind w:left="1880"/>
              <w:spacing w:after="0" w:line="161" w:lineRule="exact"/>
              <w:rPr>
                <w:sz w:val="20"/>
                <w:szCs w:val="20"/>
                <w:color w:val="auto"/>
              </w:rPr>
            </w:pPr>
            <w:r>
              <w:rPr>
                <w:rFonts w:ascii="MS PGothic" w:cs="MS PGothic" w:eastAsia="MS PGothic" w:hAnsi="MS PGothic"/>
                <w:sz w:val="16"/>
                <w:szCs w:val="16"/>
                <w:color w:val="auto"/>
              </w:rPr>
              <w:t>☑</w:t>
            </w:r>
          </w:p>
        </w:tc>
        <w:tc>
          <w:tcPr>
            <w:tcW w:w="3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Accelerated filer</w:t>
            </w:r>
          </w:p>
        </w:tc>
        <w:tc>
          <w:tcPr>
            <w:tcW w:w="1900" w:type="dxa"/>
            <w:vAlign w:val="bottom"/>
          </w:tcPr>
          <w:p>
            <w:pPr>
              <w:ind w:left="17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3"/>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140" w:type="dxa"/>
            <w:vAlign w:val="bottom"/>
          </w:tcPr>
          <w:p>
            <w:pPr>
              <w:ind w:left="1880"/>
              <w:spacing w:after="0" w:line="161" w:lineRule="exact"/>
              <w:rPr>
                <w:sz w:val="20"/>
                <w:szCs w:val="20"/>
                <w:color w:val="auto"/>
              </w:rPr>
            </w:pPr>
            <w:r>
              <w:rPr>
                <w:rFonts w:ascii="MS PGothic" w:cs="MS PGothic" w:eastAsia="MS PGothic" w:hAnsi="MS PGothic"/>
                <w:sz w:val="16"/>
                <w:szCs w:val="16"/>
                <w:color w:val="auto"/>
              </w:rPr>
              <w:t>☐</w:t>
            </w:r>
          </w:p>
        </w:tc>
        <w:tc>
          <w:tcPr>
            <w:tcW w:w="3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900" w:type="dxa"/>
            <w:vAlign w:val="bottom"/>
          </w:tcPr>
          <w:p>
            <w:pPr>
              <w:ind w:left="17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7"/>
        </w:trPr>
        <w:tc>
          <w:tcPr>
            <w:tcW w:w="3380" w:type="dxa"/>
            <w:vAlign w:val="bottom"/>
          </w:tcPr>
          <w:p>
            <w:pPr>
              <w:spacing w:after="0"/>
              <w:rPr>
                <w:sz w:val="23"/>
                <w:szCs w:val="23"/>
                <w:color w:val="auto"/>
              </w:rPr>
            </w:pPr>
          </w:p>
        </w:tc>
        <w:tc>
          <w:tcPr>
            <w:tcW w:w="2140" w:type="dxa"/>
            <w:vAlign w:val="bottom"/>
          </w:tcPr>
          <w:p>
            <w:pPr>
              <w:ind w:left="1880"/>
              <w:spacing w:after="0" w:line="161" w:lineRule="exact"/>
              <w:rPr>
                <w:sz w:val="20"/>
                <w:szCs w:val="20"/>
                <w:color w:val="auto"/>
              </w:rPr>
            </w:pPr>
            <w:r>
              <w:rPr>
                <w:rFonts w:ascii="MS PGothic" w:cs="MS PGothic" w:eastAsia="MS PGothic" w:hAnsi="MS PGothic"/>
                <w:sz w:val="16"/>
                <w:szCs w:val="16"/>
                <w:color w:val="auto"/>
              </w:rPr>
              <w:t>☐</w:t>
            </w:r>
          </w:p>
        </w:tc>
        <w:tc>
          <w:tcPr>
            <w:tcW w:w="3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Emerging growth company</w:t>
            </w:r>
          </w:p>
        </w:tc>
        <w:tc>
          <w:tcPr>
            <w:tcW w:w="1900" w:type="dxa"/>
            <w:vAlign w:val="bottom"/>
          </w:tcPr>
          <w:p>
            <w:pPr>
              <w:ind w:left="17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1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6" w:lineRule="exact"/>
        <w:rPr>
          <w:sz w:val="24"/>
          <w:szCs w:val="24"/>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ind w:left="1300"/>
        <w:spacing w:after="0" w:line="161" w:lineRule="exact"/>
        <w:rPr>
          <w:sz w:val="20"/>
          <w:szCs w:val="20"/>
          <w:color w:val="auto"/>
        </w:rPr>
      </w:pPr>
      <w:r>
        <w:rPr>
          <w:rFonts w:ascii="MS PGothic" w:cs="MS PGothic" w:eastAsia="MS PGothic" w:hAnsi="MS PGothic"/>
          <w:sz w:val="16"/>
          <w:szCs w:val="16"/>
          <w:color w:val="auto"/>
        </w:rPr>
        <w:t>☑</w:t>
      </w:r>
    </w:p>
    <w:p>
      <w:pPr>
        <w:spacing w:after="0" w:line="18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91" w:lineRule="exact"/>
        <w:rPr>
          <w:sz w:val="24"/>
          <w:szCs w:val="24"/>
          <w:color w:val="auto"/>
        </w:rPr>
      </w:pPr>
    </w:p>
    <w:p>
      <w:pPr>
        <w:ind w:right="60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284480</wp:posOffset>
            </wp:positionV>
            <wp:extent cx="7160895"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type w:val="continuous"/>
        </w:sectPr>
      </w:pPr>
    </w:p>
    <w:bookmarkStart w:id="1" w:name="page2"/>
    <w:bookmarkEnd w:id="1"/>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9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6"/>
          <w:szCs w:val="16"/>
          <w:color w:val="auto"/>
        </w:rPr>
        <w:t>As of June 30, 2025, the aggregate market value of the registrant’s common stock, par value $5.00 per share, held by non-affiliates of the registrant, computed by reference to the last sale price as reported on The New York Stock Exchange for such date, was $3,347,830,064.</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February 20, 2026, 94,142,307 shares of the registrant’s common stock, par value $5.00 per share, were outstanding.</w:t>
      </w:r>
    </w:p>
    <w:p>
      <w:pPr>
        <w:spacing w:after="0" w:line="200" w:lineRule="exact"/>
        <w:rPr>
          <w:sz w:val="20"/>
          <w:szCs w:val="20"/>
          <w:color w:val="auto"/>
        </w:rPr>
      </w:pPr>
    </w:p>
    <w:p>
      <w:pPr>
        <w:spacing w:after="0" w:line="20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DOCUMENTS INCORPORATED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Portions of the Proxy Statement for the 2026 Annual Meeting of Shareholders of Renasant Corporation are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213360</wp:posOffset>
            </wp:positionV>
            <wp:extent cx="716089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60" w:type="dxa"/>
            <w:vAlign w:val="bottom"/>
          </w:tcPr>
          <w:p>
            <w:pPr>
              <w:jc w:val="center"/>
              <w:ind w:right="312"/>
              <w:spacing w:after="0"/>
              <w:rPr>
                <w:sz w:val="20"/>
                <w:szCs w:val="20"/>
                <w:color w:val="auto"/>
              </w:rPr>
            </w:pPr>
            <w:r>
              <w:rPr>
                <w:rFonts w:ascii="Times New Roman" w:cs="Times New Roman" w:eastAsia="Times New Roman" w:hAnsi="Times New Roman"/>
                <w:sz w:val="18"/>
                <w:szCs w:val="18"/>
                <w:color w:val="auto"/>
                <w:w w:val="97"/>
              </w:rPr>
              <w:t>Renasant Corporation and Subsidiaries</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55"/>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60" w:type="dxa"/>
            <w:vAlign w:val="bottom"/>
          </w:tcPr>
          <w:p>
            <w:pPr>
              <w:jc w:val="center"/>
              <w:ind w:right="312"/>
              <w:spacing w:after="0"/>
              <w:rPr>
                <w:sz w:val="20"/>
                <w:szCs w:val="20"/>
                <w:color w:val="auto"/>
              </w:rPr>
            </w:pPr>
            <w:r>
              <w:rPr>
                <w:rFonts w:ascii="Times New Roman" w:cs="Times New Roman" w:eastAsia="Times New Roman" w:hAnsi="Times New Roman"/>
                <w:sz w:val="18"/>
                <w:szCs w:val="18"/>
                <w:color w:val="auto"/>
                <w:w w:val="96"/>
              </w:rPr>
              <w:t>Form 10-K</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2"/>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60" w:type="dxa"/>
            <w:vAlign w:val="bottom"/>
          </w:tcPr>
          <w:p>
            <w:pPr>
              <w:jc w:val="center"/>
              <w:ind w:right="312"/>
              <w:spacing w:after="0"/>
              <w:rPr>
                <w:sz w:val="20"/>
                <w:szCs w:val="20"/>
                <w:color w:val="auto"/>
              </w:rPr>
            </w:pPr>
            <w:r>
              <w:rPr>
                <w:rFonts w:ascii="Times New Roman" w:cs="Times New Roman" w:eastAsia="Times New Roman" w:hAnsi="Times New Roman"/>
                <w:sz w:val="18"/>
                <w:szCs w:val="18"/>
                <w:color w:val="auto"/>
                <w:w w:val="96"/>
              </w:rPr>
              <w:t>For the Year Ended December 31, 2025</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8"/>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60" w:type="dxa"/>
            <w:vAlign w:val="bottom"/>
          </w:tcPr>
          <w:p>
            <w:pPr>
              <w:jc w:val="center"/>
              <w:ind w:right="332"/>
              <w:spacing w:after="0"/>
              <w:rPr>
                <w:sz w:val="20"/>
                <w:szCs w:val="20"/>
                <w:color w:val="auto"/>
              </w:rPr>
            </w:pPr>
            <w:r>
              <w:rPr>
                <w:rFonts w:ascii="Times New Roman" w:cs="Times New Roman" w:eastAsia="Times New Roman" w:hAnsi="Times New Roman"/>
                <w:sz w:val="18"/>
                <w:szCs w:val="18"/>
                <w:color w:val="auto"/>
                <w:w w:val="97"/>
              </w:rPr>
              <w:t>CONTENTS</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7"/>
        </w:trPr>
        <w:tc>
          <w:tcPr>
            <w:tcW w:w="2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0000FF"/>
              </w:rPr>
              <w:t>PART I</w:t>
            </w:r>
          </w:p>
        </w:tc>
        <w:tc>
          <w:tcPr>
            <w:tcW w:w="300" w:type="dxa"/>
            <w:vAlign w:val="bottom"/>
          </w:tcPr>
          <w:p>
            <w:pPr>
              <w:spacing w:after="0"/>
              <w:rPr>
                <w:sz w:val="24"/>
                <w:szCs w:val="24"/>
                <w:color w:val="auto"/>
              </w:rPr>
            </w:pPr>
          </w:p>
        </w:tc>
        <w:tc>
          <w:tcPr>
            <w:tcW w:w="946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Page</w:t>
            </w:r>
          </w:p>
        </w:tc>
      </w:tr>
      <w:tr>
        <w:trPr>
          <w:trHeight w:val="212"/>
        </w:trPr>
        <w:tc>
          <w:tcPr>
            <w:tcW w:w="2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0000FF"/>
              </w:rPr>
              <w:t>Business</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0000FF"/>
              </w:rPr>
              <w:t>2</w:t>
            </w:r>
          </w:p>
        </w:tc>
        <w:tc>
          <w:tcPr>
            <w:tcW w:w="2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0000FF"/>
              </w:rPr>
              <w:t>Risk Factors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w:t>
            </w:r>
          </w:p>
        </w:tc>
        <w:tc>
          <w:tcPr>
            <w:tcW w:w="2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9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1C.</w:t>
            </w:r>
          </w:p>
        </w:tc>
        <w:tc>
          <w:tcPr>
            <w:tcW w:w="9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0000FF"/>
              </w:rPr>
              <w:t>Cybersecurity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0000FF"/>
              </w:rPr>
              <w:t>Properties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0000FF"/>
              </w:rPr>
              <w:t>Legal Proceedings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19"/>
                <w:szCs w:val="19"/>
                <w:color w:val="auto"/>
              </w:rPr>
            </w:pPr>
          </w:p>
        </w:tc>
      </w:tr>
      <w:tr>
        <w:trPr>
          <w:trHeight w:val="482"/>
        </w:trPr>
        <w:tc>
          <w:tcPr>
            <w:tcW w:w="2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0000FF"/>
              </w:rPr>
              <w:t>PART II</w:t>
            </w:r>
          </w:p>
        </w:tc>
        <w:tc>
          <w:tcPr>
            <w:tcW w:w="300" w:type="dxa"/>
            <w:vAlign w:val="bottom"/>
          </w:tcPr>
          <w:p>
            <w:pPr>
              <w:spacing w:after="0"/>
              <w:rPr>
                <w:sz w:val="24"/>
                <w:szCs w:val="24"/>
                <w:color w:val="auto"/>
              </w:rPr>
            </w:pPr>
          </w:p>
        </w:tc>
        <w:tc>
          <w:tcPr>
            <w:tcW w:w="9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0000FF"/>
              </w:rPr>
              <w:t>[Reserved]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9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9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63</w:t>
            </w:r>
          </w:p>
        </w:tc>
        <w:tc>
          <w:tcPr>
            <w:tcW w:w="2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9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64</w:t>
            </w:r>
          </w:p>
        </w:tc>
        <w:tc>
          <w:tcPr>
            <w:tcW w:w="2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9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146</w:t>
            </w:r>
          </w:p>
        </w:tc>
        <w:tc>
          <w:tcPr>
            <w:tcW w:w="2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9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146</w:t>
            </w:r>
          </w:p>
        </w:tc>
        <w:tc>
          <w:tcPr>
            <w:tcW w:w="2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9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0000FF"/>
              </w:rPr>
              <w:t>Other Information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147</w:t>
            </w:r>
          </w:p>
        </w:tc>
        <w:tc>
          <w:tcPr>
            <w:tcW w:w="2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9C.</w:t>
            </w:r>
          </w:p>
        </w:tc>
        <w:tc>
          <w:tcPr>
            <w:tcW w:w="9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147</w:t>
            </w:r>
          </w:p>
        </w:tc>
        <w:tc>
          <w:tcPr>
            <w:tcW w:w="20" w:type="dxa"/>
            <w:vAlign w:val="bottom"/>
          </w:tcPr>
          <w:p>
            <w:pPr>
              <w:spacing w:after="0"/>
              <w:rPr>
                <w:sz w:val="19"/>
                <w:szCs w:val="19"/>
                <w:color w:val="auto"/>
              </w:rPr>
            </w:pPr>
          </w:p>
        </w:tc>
      </w:tr>
      <w:tr>
        <w:trPr>
          <w:trHeight w:val="482"/>
        </w:trPr>
        <w:tc>
          <w:tcPr>
            <w:tcW w:w="2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0000FF"/>
              </w:rPr>
              <w:t>PART III</w:t>
            </w:r>
          </w:p>
        </w:tc>
        <w:tc>
          <w:tcPr>
            <w:tcW w:w="300" w:type="dxa"/>
            <w:vAlign w:val="bottom"/>
          </w:tcPr>
          <w:p>
            <w:pPr>
              <w:spacing w:after="0"/>
              <w:rPr>
                <w:sz w:val="24"/>
                <w:szCs w:val="24"/>
                <w:color w:val="auto"/>
              </w:rPr>
            </w:pPr>
          </w:p>
        </w:tc>
        <w:tc>
          <w:tcPr>
            <w:tcW w:w="9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9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148</w:t>
            </w:r>
          </w:p>
        </w:tc>
        <w:tc>
          <w:tcPr>
            <w:tcW w:w="2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9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0000FF"/>
              </w:rPr>
              <w:t>Executive Compensation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148</w:t>
            </w:r>
          </w:p>
        </w:tc>
        <w:tc>
          <w:tcPr>
            <w:tcW w:w="2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9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148</w:t>
            </w:r>
          </w:p>
        </w:tc>
        <w:tc>
          <w:tcPr>
            <w:tcW w:w="2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9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149</w:t>
            </w:r>
          </w:p>
        </w:tc>
        <w:tc>
          <w:tcPr>
            <w:tcW w:w="2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9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149</w:t>
            </w:r>
          </w:p>
        </w:tc>
        <w:tc>
          <w:tcPr>
            <w:tcW w:w="20" w:type="dxa"/>
            <w:vAlign w:val="bottom"/>
          </w:tcPr>
          <w:p>
            <w:pPr>
              <w:spacing w:after="0"/>
              <w:rPr>
                <w:sz w:val="19"/>
                <w:szCs w:val="19"/>
                <w:color w:val="auto"/>
              </w:rPr>
            </w:pPr>
          </w:p>
        </w:tc>
      </w:tr>
      <w:tr>
        <w:trPr>
          <w:trHeight w:val="482"/>
        </w:trPr>
        <w:tc>
          <w:tcPr>
            <w:tcW w:w="2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0000FF"/>
              </w:rPr>
              <w:t>PART IV</w:t>
            </w:r>
          </w:p>
        </w:tc>
        <w:tc>
          <w:tcPr>
            <w:tcW w:w="300" w:type="dxa"/>
            <w:vAlign w:val="bottom"/>
          </w:tcPr>
          <w:p>
            <w:pPr>
              <w:spacing w:after="0"/>
              <w:rPr>
                <w:sz w:val="24"/>
                <w:szCs w:val="24"/>
                <w:color w:val="auto"/>
              </w:rPr>
            </w:pPr>
          </w:p>
        </w:tc>
        <w:tc>
          <w:tcPr>
            <w:tcW w:w="9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9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150</w:t>
            </w:r>
          </w:p>
        </w:tc>
        <w:tc>
          <w:tcPr>
            <w:tcW w:w="2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9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0000FF"/>
              </w:rPr>
              <w:t>Form 10-K Summary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155</w:t>
            </w:r>
          </w:p>
        </w:tc>
        <w:tc>
          <w:tcPr>
            <w:tcW w:w="20" w:type="dxa"/>
            <w:vAlign w:val="bottom"/>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105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68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0E32E1"/>
              </w:rPr>
              <w:t>S-</w:t>
            </w:r>
            <w:r>
              <w:rPr>
                <w:rFonts w:ascii="Times New Roman" w:cs="Times New Roman" w:eastAsia="Times New Roman" w:hAnsi="Times New Roman"/>
                <w:sz w:val="18"/>
                <w:szCs w:val="18"/>
                <w:color w:val="0000FF"/>
              </w:rPr>
              <w:t>1</w:t>
            </w:r>
          </w:p>
        </w:tc>
      </w:tr>
      <w:tr>
        <w:trPr>
          <w:trHeight w:val="1197"/>
        </w:trPr>
        <w:tc>
          <w:tcPr>
            <w:tcW w:w="20" w:type="dxa"/>
            <w:vAlign w:val="bottom"/>
            <w:tcBorders>
              <w:bottom w:val="single" w:sz="8" w:color="9A9A9A"/>
            </w:tcBorders>
          </w:tcPr>
          <w:p>
            <w:pPr>
              <w:spacing w:after="0"/>
              <w:rPr>
                <w:sz w:val="24"/>
                <w:szCs w:val="24"/>
                <w:color w:val="auto"/>
              </w:rPr>
            </w:pPr>
          </w:p>
        </w:tc>
        <w:tc>
          <w:tcPr>
            <w:tcW w:w="78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94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6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This Annual Report on Form 10-K may contain or incorporate by reference statements regarding Renasant Corporation (referred to herein as the “Company”, “we”, “our”, or “us”) that constitute “forward-looking statements” within the meaning of Section 27A of the Securities Act of 1933, as amended, and Section 21E of the Securities Exchange Act of 1934, as amended. Statements preceded by, followed by or that otherwise include the words “believes,” “expects,” “projects,” “anticipates,” “intends,” “estimates,” “plans,” “potential,” “focus,” “possible,” “may increase,” “may fluctuate,” “will likely result,” and similar expressions, or future or conditional verbs such as “will,” “should,” “would” and “could,” are generally forward-looking in nature and not historical facts. Forward-looking statements include information about the Company’s future financial performance, business strategy, projected plans and objectives and 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based on the current beliefs and expectations of management. The Company’s management believes these forward-looking statements are reasonable, but they</w:t>
      </w:r>
    </w:p>
    <w:p>
      <w:pPr>
        <w:spacing w:after="0" w:line="6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are all inherently subject to significant business, economic and competitive risks and uncertainties, many of which are beyond the Company’s control. In addition, these forward-looking statements are subject to assumptions with respect to future business strategies and decisions that are subject to change. Actual results may differ from those indicated or implied in the forward-looking statements, and such differences may be material. Prospective investors are cautioned that any such forward-looking statements are not guarantees of future performance and involve risks and uncertainties and, accordingly, investors should not place undue reliance on these forward-looking statements, which speak only as of the date they are made.</w:t>
      </w:r>
    </w:p>
    <w:p>
      <w:pPr>
        <w:spacing w:after="0" w:line="13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Important factors currently known to management that could cause our actual results to differ materially from those in forward-looking statements include the following:</w:t>
      </w:r>
    </w:p>
    <w:p>
      <w:pPr>
        <w:spacing w:after="0" w:line="117" w:lineRule="exact"/>
        <w:rPr>
          <w:sz w:val="20"/>
          <w:szCs w:val="20"/>
          <w:color w:val="auto"/>
        </w:rPr>
      </w:pPr>
    </w:p>
    <w:p>
      <w:pPr>
        <w:jc w:val="both"/>
        <w:ind w:left="640" w:hanging="319"/>
        <w:spacing w:after="0" w:line="250" w:lineRule="auto"/>
        <w:tabs>
          <w:tab w:leader="none" w:pos="6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efficiently integrate acquisitions (including its acquisition of The First Bancshares, Inc. (“The First”)) into its operations, retain the customers of these businesses, grow the acquired operations and realize the cost savings expected from an acquisition to the extent and in the timeframe anticipated by management (including the possibility that such cost savings will not be realized when expected, or at all, as a result of the impact of, or challenges arising from, the integration of the acquired assets and assumed liabilities into the Company, potential adverse reactions or changes to business or employee relationships, or as a result of other unexpected factors or events);</w:t>
      </w:r>
    </w:p>
    <w:p>
      <w:pPr>
        <w:spacing w:after="0" w:line="132"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exposure to unknown or contingent risks and liabilities we have acquired, or may acquire, or target for acquisition, including in connection with the merger with The First;</w:t>
      </w:r>
    </w:p>
    <w:p>
      <w:pPr>
        <w:spacing w:after="0" w:line="11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economic conditions and interest rates on a national, regional or international basis;</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success of the implementation of changes in operations to achieve enhanced earnings or effect cost savings;</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remediate the material weakness in the Company’s internal control over financial reporting identified in this report;</w:t>
      </w:r>
    </w:p>
    <w:p>
      <w:pPr>
        <w:spacing w:after="0" w:line="161"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pressures in the consumer finance, commercial finance, financial services, asset management, retail banking, factoring, mortgage lending and auto lending industries;</w:t>
      </w:r>
    </w:p>
    <w:p>
      <w:pPr>
        <w:spacing w:after="0" w:line="11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resources of, and products available from, competitors;</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as well as changes in accounting standards;</w:t>
      </w:r>
    </w:p>
    <w:p>
      <w:pPr>
        <w:spacing w:after="0" w:line="161"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and regulatory policy, whether applicable specifically to financial institutions or impacting the United States generally (such as, for example, changes in trade policy);</w:t>
      </w:r>
    </w:p>
    <w:p>
      <w:pPr>
        <w:spacing w:after="0" w:line="11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scrutiny by, and/or additional regulatory requirements of, regulatory agencies as a result of the Company’s merger with The First.;</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securities and foreign exchange markets;</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potential growth, including its entrance or expansion into new markets, and the need for sufficient capital to support that growth;</w:t>
      </w:r>
    </w:p>
    <w:p>
      <w:pPr>
        <w:spacing w:after="0" w:line="161" w:lineRule="exact"/>
        <w:rPr>
          <w:rFonts w:ascii="Times New Roman" w:cs="Times New Roman" w:eastAsia="Times New Roman" w:hAnsi="Times New Roman"/>
          <w:sz w:val="18"/>
          <w:szCs w:val="18"/>
          <w:color w:val="auto"/>
        </w:rPr>
      </w:pPr>
    </w:p>
    <w:p>
      <w:pPr>
        <w:jc w:val="both"/>
        <w:ind w:left="640" w:hanging="319"/>
        <w:spacing w:after="0" w:line="256" w:lineRule="auto"/>
        <w:tabs>
          <w:tab w:leader="none" w:pos="6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quality or composition of the Company’s loan or investment portfolios, including adverse developments in borrower industries or in the repayment ability of individual borrowers or issuers of investment securities, or the impact of interest rates on the value of our investment securities portfolio;</w:t>
      </w:r>
    </w:p>
    <w:p>
      <w:pPr>
        <w:spacing w:after="0" w:line="127"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insufficient allowance for credit losses as a result of inaccurate assumptions;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 w:name="page5"/>
    <w:bookmarkEnd w:id="4"/>
    <w:p>
      <w:pPr>
        <w:ind w:left="640" w:hanging="319"/>
        <w:spacing w:after="0" w:line="268" w:lineRule="auto"/>
        <w:tabs>
          <w:tab w:leader="none" w:pos="6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sources and costs of the capital we use to make loans and otherwise fund our operations due to deposit outflows, changes in the mix of deposits and the cost and availability of borrowings;</w:t>
      </w:r>
    </w:p>
    <w:p>
      <w:pPr>
        <w:spacing w:after="0" w:line="11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or business conditions, including the impact of inflation;</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for loan and deposit products and other financial services;</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concentrations of deposit or credit exposure;</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the lack of changes in interest rates, yield curves and interest rate spread relationships;</w:t>
      </w:r>
    </w:p>
    <w:p>
      <w:pPr>
        <w:spacing w:after="0" w:line="161"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resulting from fraudulent activity, including loan and deposit fraud and social engineering attacks targeting our customers, employees and third party vendors;</w:t>
      </w:r>
    </w:p>
    <w:p>
      <w:pPr>
        <w:spacing w:after="0" w:line="116"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cybersecurity risk, including potential network breaches, business disruptions or financial losses, including as a result of sophisticated attacks using artificial intelligence (“AI”) and similar tools;</w:t>
      </w:r>
    </w:p>
    <w:p>
      <w:pPr>
        <w:spacing w:after="0" w:line="11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unrest, natural disasters, epidemics and other catastrophic events in or near the Company’s geographic area;</w:t>
      </w:r>
    </w:p>
    <w:p>
      <w:pPr>
        <w:spacing w:after="0" w:line="161"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conditions, including acts or threats of terrorism, and actions taken by the United States or other governments in response to acts or threats of terrorism and/or military conflicts, which could impact business and economic conditions in the United States and abroad;</w:t>
      </w:r>
    </w:p>
    <w:p>
      <w:pPr>
        <w:spacing w:after="0" w:line="11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extent and timing of technological changes, including the rapid development of AI technologies; and</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circumstances, many of which are beyond management’s control.</w:t>
      </w:r>
    </w:p>
    <w:p>
      <w:pPr>
        <w:spacing w:after="0" w:line="16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Management believes that the assumptions underlying the Company’s forward-looking statements are reasonable, but any of the assumptions could prove to be inaccurate. Investors are urged to carefully consider the risks described elsewhere in this report and in the Company’s other filings with the Securities and Exchange Commission (the “SEC”) from time to time, including its Quarterly Reports on Form 10-Q, which are available at www.renasant.com and the SEC’s website at www.sec.gov</w:t>
      </w:r>
      <w:r>
        <w:rPr>
          <w:rFonts w:ascii="Times New Roman" w:cs="Times New Roman" w:eastAsia="Times New Roman" w:hAnsi="Times New Roman"/>
          <w:sz w:val="18"/>
          <w:szCs w:val="18"/>
          <w:color w:val="0000FF"/>
        </w:rPr>
        <w:t>.</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undertakes no obligation, and specifically disclaims any obligation, to update or revise forward-looking statements, whether as a result of new information or to reflect changed assumptions, the occurrence of unanticipated events or changes to future operating results over time, except as required by federal securities laws.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this Annual Report on Form 10-K is as of February 27, 2026 unless otherwise indicated herein.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color w:val="auto"/>
        </w:rPr>
        <w:t>Renasant Corporation, a Mississippi corporation incorporated in 1982. It owns and operates Renasant Bank, a Mississippi banking corporation with operations throughout the Southeast, and also owns and operates Park Place Capital Corporation, a Tennessee corporation and registered investment advisor with operations across our footprint. Renasant Bank, in turn, owns and operates Continental Republic Capital, LLC (doing business as “Republic Business Credit”), a Louisiana limited liability company offering factoring and asset-based lending on a nationwide basis, while Park Place Capital Corporation, in turn, owns and operates Park Place Capital Securities Corporation, a Delaware corporation and registered broker-dealer. Renasant Bank also owns Renasant Insurance, Inc., a Mississippi corporation, which was engaged in the insurance agency business until Renasant Bank’s sale of substantially all of the assets of Renasant Insurance, Inc. on July 1, 2024. More information about this transaction can be found in Item 7, Management’s Discussion and Analysis of Financial Condition and Results of Operations. In this Annual Report, Renasant Bank is sometimes referred to as the “Bank,” while Park Place Capital Corporation is referred to as “Park Place Capital,” and Continental Republic Capital, LLC is referred to as “Republic Business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5" w:name="page6"/>
    <w:bookmarkEnd w:id="5"/>
    <w:p>
      <w:pPr>
        <w:jc w:val="both"/>
        <w:spacing w:after="0" w:line="252" w:lineRule="auto"/>
        <w:rPr>
          <w:sz w:val="20"/>
          <w:szCs w:val="20"/>
          <w:color w:val="auto"/>
        </w:rPr>
      </w:pPr>
      <w:r>
        <w:rPr>
          <w:rFonts w:ascii="Times New Roman" w:cs="Times New Roman" w:eastAsia="Times New Roman" w:hAnsi="Times New Roman"/>
          <w:sz w:val="18"/>
          <w:szCs w:val="18"/>
          <w:color w:val="auto"/>
        </w:rPr>
        <w:t>Our vision is to be the financial services advisor and provider of choice in each community we serve. With this vision in mind, management has organized the branch banks into community banks using a franchise concept. The franchise approach empowers community bank presidents to execute their own business plans in order to achieve our vision. Specific performance measurement tools are available to assist these presidents in determining the success of their plan implementation. A few of the ratios used in measuring the success of their business plan include:</w:t>
      </w:r>
    </w:p>
    <w:p>
      <w:pPr>
        <w:spacing w:after="0" w:line="139" w:lineRule="exact"/>
        <w:rPr>
          <w:sz w:val="20"/>
          <w:szCs w:val="20"/>
          <w:color w:val="auto"/>
        </w:rPr>
      </w:pPr>
    </w:p>
    <w:tbl>
      <w:tblPr>
        <w:tblLayout w:type="fixed"/>
        <w:tblInd w:w="174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3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return on average assets and on average</w:t>
            </w:r>
          </w:p>
        </w:tc>
        <w:tc>
          <w:tcPr>
            <w:tcW w:w="520" w:type="dxa"/>
            <w:vAlign w:val="bottom"/>
          </w:tcPr>
          <w:p>
            <w:pPr>
              <w:spacing w:after="0"/>
              <w:rPr>
                <w:sz w:val="17"/>
                <w:szCs w:val="17"/>
                <w:color w:val="auto"/>
              </w:rPr>
            </w:pPr>
          </w:p>
        </w:tc>
        <w:tc>
          <w:tcPr>
            <w:tcW w:w="3980" w:type="dxa"/>
            <w:vAlign w:val="bottom"/>
          </w:tcPr>
          <w:p>
            <w:pPr>
              <w:spacing w:after="0"/>
              <w:rPr>
                <w:sz w:val="17"/>
                <w:szCs w:val="17"/>
                <w:color w:val="auto"/>
              </w:rPr>
            </w:pPr>
          </w:p>
        </w:tc>
      </w:tr>
      <w:tr>
        <w:trPr>
          <w:trHeight w:val="232"/>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common equity</w:t>
            </w:r>
          </w:p>
        </w:tc>
        <w:tc>
          <w:tcPr>
            <w:tcW w:w="4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net interest margin and spread</w:t>
            </w:r>
          </w:p>
        </w:tc>
      </w:tr>
      <w:tr>
        <w:trPr>
          <w:trHeight w:val="22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efficiency ratio</w:t>
            </w:r>
          </w:p>
        </w:tc>
        <w:tc>
          <w:tcPr>
            <w:tcW w:w="4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98"/>
              </w:rPr>
              <w:t>—  fee income shown as a percentage of loans and deposits</w:t>
            </w:r>
          </w:p>
        </w:tc>
      </w:tr>
      <w:tr>
        <w:trPr>
          <w:trHeight w:val="224"/>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loan and deposit growth</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volume and cost of deposits</w:t>
            </w:r>
          </w:p>
        </w:tc>
      </w:tr>
      <w:tr>
        <w:trPr>
          <w:trHeight w:val="228"/>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charge-offs to average loans</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percentage of loans past due and nonaccruing</w:t>
            </w:r>
          </w:p>
        </w:tc>
      </w:tr>
    </w:tbl>
    <w:p>
      <w:pPr>
        <w:spacing w:after="0" w:line="2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we have preserved decision-making at a local level, we have centralized our legal, accounting, investment, risk management, loan review, human resources, audit and data processing/operations functions. The centralization of these functions enables us to maintain consistent quality and achieve certain economies of scale.</w:t>
      </w:r>
    </w:p>
    <w:p>
      <w:pPr>
        <w:spacing w:after="0" w:line="127"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color w:val="auto"/>
        </w:rPr>
        <w:t>Our vision is further validated through our core values which include: (1) employees are our greatest assets, (2) quality is not negotiable and (3) clients’ trust is foremost. Our strategic plan is centered on these values; the plan focuses on attracting high quality deposits, generating organic loan growth and increasing our noninterest income, improving our operating efficiency and enhancing our technological capabilities, remaining opportunistic, and achieving financial</w:t>
      </w:r>
    </w:p>
    <w:p>
      <w:pPr>
        <w:spacing w:after="0" w:line="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performance targets, both on an absolute basis and relative to our peer institutions. We believe that the successful implementation of our strategic plan will promote the satisfaction and development of our employees, clients and shareholders.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 with The First Bancshares, Inc.</w:t>
      </w:r>
    </w:p>
    <w:p>
      <w:pPr>
        <w:spacing w:after="0" w:line="24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Effective April 1, 2025, the Company completed its acquisition by merger of The First Bancshares, Inc., a Mississippi corporation, pursuant to which, The First merged with and into the Company, with the Company as the surviving entity in the merger, and immediately thereafter The First’s subsidiary bank merged with and into the Bank, with the Bank as the surviving entity in the merger. At merger, each outstanding share of common stock of The First converted into the right to receive one share of common stock of the Company. Upon completion of the merger, Southwest Georgia Insurance Services, Inc., a Georgia corporation, became a subsidiary of Renasant Bank and engaged in the insurance agency business until Renasant Bank’s sale of substantially all of its assets on December 31,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1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two reportable segments: a Community Banks segment and a Wealth Management segment. The Company no longer has an Insurance segment as a result of the sale of the Company’s insurance agency businesses in July 2024 and December 2025 as discussed above. We do not have any foreign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Operations of Community Banks</w:t>
      </w:r>
    </w:p>
    <w:p>
      <w:pPr>
        <w:spacing w:after="0" w:line="16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Substantially all of our business activities are conducted through, and substantially all of our assets and revenues are derived from, the operations of our community banks, which offer a complete range of banking and financial services to individuals and to businesses of all sizes. As described in more detail below, these services include business and personal loans, interim construction loans, specialty commercial lending, factoring and asset-based lending, treasury management services and checking and savings accounts, as well as safe deposit boxes and night depository facilities. Automated teller machines and interactive teller machines are located throughout our market area. Our Online and Mobile Banking products and our call center also provide 24-hour banking services.</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2025, we had 277 banking, lending and mortgage offices located throughout our markets in the Southeast, while our subsidiary Republic Business Credit had four stand-alone offices in California, Illinois, Louisiana and Texas. Customers may also conduct many banking transactions, such as opening deposit accounts and applying for certain types of loans, through our Online and Mobile Banking products.</w:t>
      </w:r>
    </w:p>
    <w:p>
      <w:pPr>
        <w:spacing w:after="0" w:line="1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u w:val="single" w:color="auto"/>
          <w:color w:val="auto"/>
        </w:rPr>
        <w:t>Lending Activities</w:t>
      </w:r>
      <w:r>
        <w:rPr>
          <w:rFonts w:ascii="Times New Roman" w:cs="Times New Roman" w:eastAsia="Times New Roman" w:hAnsi="Times New Roman"/>
          <w:sz w:val="18"/>
          <w:szCs w:val="18"/>
          <w:color w:val="auto"/>
        </w:rPr>
        <w:t>. Income generated by our lending activities, in the form of interest income, loan-related fees, and income from the sale and servicing of mortgage loans, comprises a substantial portion of our revenue, accounting for approximately 81.1%, 77.7% and 82.8% of our total gross revenues in 2025, 2024 and 2023, respectively. (Total gross revenues consist of interest income on a fully taxable equivalent basis and noninterest income.) Our lending philosophy is to minimize credit losses by following strict credit approval standards, diversifying our loan portfolio by both type, size and geography and conducting</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6" w:name="page7"/>
    <w:bookmarkEnd w:id="6"/>
    <w:p>
      <w:pPr>
        <w:jc w:val="both"/>
        <w:spacing w:after="0" w:line="248" w:lineRule="auto"/>
        <w:rPr>
          <w:sz w:val="20"/>
          <w:szCs w:val="20"/>
          <w:color w:val="auto"/>
        </w:rPr>
      </w:pPr>
      <w:r>
        <w:rPr>
          <w:rFonts w:ascii="Times New Roman" w:cs="Times New Roman" w:eastAsia="Times New Roman" w:hAnsi="Times New Roman"/>
          <w:sz w:val="18"/>
          <w:szCs w:val="18"/>
          <w:color w:val="auto"/>
        </w:rPr>
        <w:t>ongoing review and management of the loan portfolio. Loans are originated through either our commercial lending groups (which includes the operations of Republic Business Credit) or personal bankers, depending on the relationship and type of service or product desired. Our commercial lending group provides banking services to corporations or other business customers and originates loans for general corporate purposes, such as financing for commercial and industrial projects or income producing commercial real estate. Also included in our commercial lending group are experienced lenders within our specialty lines of business, which consist of our asset-based lending, Small Business Administration lending, healthcare, factoring, and equipment lease financing banking groups. Our personal banking group provides small consumer installment loans, residential real estate loans, lines of credit and construction financing and originates conventional first and second mortgages.</w:t>
      </w:r>
    </w:p>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is a general description of each of the principal types of loans in our loan portfolio, the relative credit risk of each type of loan and the steps we take to reduce credit risk. Our loans are primarily generated within the market areas where our offices are located, while Republic Business Credit generates loans on a nationwide basis.</w:t>
      </w:r>
    </w:p>
    <w:p>
      <w:pPr>
        <w:spacing w:after="0" w:line="12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Commercial and Industrial Loans</w:t>
      </w:r>
      <w:r>
        <w:rPr>
          <w:rFonts w:ascii="Times New Roman" w:cs="Times New Roman" w:eastAsia="Times New Roman" w:hAnsi="Times New Roman"/>
          <w:sz w:val="16"/>
          <w:szCs w:val="16"/>
          <w:color w:val="auto"/>
        </w:rPr>
        <w:t>. Commercial and industrial loans (referred to as “C&amp;I loans”), which accounted for approximately 14.79% of our total loans at December 31, 2025, are customarily granted on a fully collateralized basis to established local business customers in our market area. The terms and loan structure are dependent on the collateral and financial strength of the borrower. Loan-to-value ratios typically range from 50% to 85%, depending on the type of collateral. Terms are typically short-term in nature and are commensurate with the secondary source of repayment that serves as our collateral.</w:t>
      </w:r>
    </w:p>
    <w:p>
      <w:pPr>
        <w:spacing w:after="0" w:line="10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Although C&amp;I loans may be collateralized by equipment or other business assets, including receivables, the repayment of this type of loan depends primarily on the creditworthiness and projected cash flow of the borrower (and any guarantors). Thus, the chief considerations when assessing the risk of a C&amp;I loan are the local business borrower’s ability to sell its products or services, thereby generating sufficient operating revenue to repay us under the agreed upon terms and conditions, and the general business conditions of the local economy or other market that the business serves. The liquidation of collateral is considered a secondary source of repayment. Another source of repayment are guarantors of the loan, if any. To manage these risks, the Bank’s policy is to secure its C&amp;I loans with both the assets of the borrowing business and any other collateral and guarantees that may be available. In addition, we actively monitor certain financial measures of the borrower, including advance rate, cash flow, collateral value and other appropriate credit factors. We use C&amp;I loan credit scoring models for smaller-size loans.</w:t>
      </w:r>
    </w:p>
    <w:p>
      <w:pPr>
        <w:spacing w:after="0" w:line="13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Company’s factoring receivables and equipment financing loans (or “lease financing loans”) are categorized as C&amp;I loans. In assessing the risk associated with factoring receivables, management considers the ability of the client’s account customer, rather than the client itself, to repay the Company. As to lease financing loans, these loans are granted to provide capital to businesses for commercial equipment needs, typically for periods ranging between two and five years at fixed rates of interest. Loss or decline of income by the borrower due to unplanned occurrences represents the primary risk of default to us. In the event of default, a shortfall in the value of the collateral may pose a loss to us in this loan category. We obtain a lien against the collateral securing the loan and hold title (if applicable) until the loan is repaid in full. Transportation, manufacturing, healthcare, material handling, printing and construction are the industries that typically obtain lease financing. In addition, we offer a product tailored to qualified not-for-profit customers that provides real estate financing at tax-exempt rates.</w:t>
      </w:r>
    </w:p>
    <w:p>
      <w:pPr>
        <w:spacing w:after="0" w:line="13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Construction and Land Development Loans</w:t>
      </w:r>
      <w:r>
        <w:rPr>
          <w:rFonts w:ascii="Times New Roman" w:cs="Times New Roman" w:eastAsia="Times New Roman" w:hAnsi="Times New Roman"/>
          <w:sz w:val="18"/>
          <w:szCs w:val="18"/>
          <w:color w:val="auto"/>
        </w:rPr>
        <w:t>. Our construction and land development loans (“construction loans”) represented approximately 10.01% of our total loans at December 31, 2025. Our construction loan portfolio consists of loans for the construction of single family residential properties, multi-family properties and commercial projects. Maturities for construction loans generally range from six to 12 months for residential property and from 24 to 36 months for non-residential and multi-family properties. Similar to non-owner occupied commercial real estate loans (which are discussed below), the source of repayment of a construction loan comes from the sale or lease of newly-constructed property, although construction loans are often repaid with the proceeds of a commercial real estate loan that we make to the owner or lessor of the newly-constructed property.</w:t>
      </w:r>
    </w:p>
    <w:p>
      <w:pPr>
        <w:spacing w:after="0" w:line="13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Construction lending entails significant additional risks compared to residential real estate or commercial real estate lending, including the risk that loan funds are advanced upon the security of the property under construction, which is of uncertain value prior to the completion of construction. The risk is tied to an accurate evaluation of the total loan funds required to complete a project and to ensure proper loan-to-value ratios during the construction phase. We address the risks associated with construction lending in a number of ways. As a threshold matter, we generally limit loan-to-value and loan-to-cost ratios to regulatory guidance of 85% of when-completed appraised values for owner-occupied and investor-owned residential or commercial properties, with the exception of those loans with clearly defined risk mitigants. We monitor draw requests either internally or with the assistance of a third party, creating an additional safeguard that ensures advances are in line with project budgets.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7" w:name="page8"/>
    <w:bookmarkEnd w:id="7"/>
    <w:p>
      <w:pPr>
        <w:jc w:val="both"/>
        <w:spacing w:after="0" w:line="252" w:lineRule="auto"/>
        <w:rPr>
          <w:sz w:val="20"/>
          <w:szCs w:val="20"/>
          <w:color w:val="auto"/>
        </w:rPr>
      </w:pPr>
      <w:r>
        <w:rPr>
          <w:rFonts w:ascii="Times New Roman" w:cs="Times New Roman" w:eastAsia="Times New Roman" w:hAnsi="Times New Roman"/>
          <w:sz w:val="18"/>
          <w:szCs w:val="18"/>
          <w:color w:val="auto"/>
        </w:rPr>
        <w:t>We also offer commercial real estate loans to developers of commercial properties for purposes of site acquisition and preparation and other development prior to actual construction (referred to as “commercial land development loans”) as well as residential real estate loans for the preparation of residential real property prior to construction (referred to as “residential land development loans”). Such loans are dependent on the successful completion of the project and may be affected by adverse conditions in the real estate market or the economy as a whole.</w:t>
      </w:r>
    </w:p>
    <w:p>
      <w:pPr>
        <w:spacing w:after="0" w:line="12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Real Estate – 1-4 Family Mortgage</w:t>
      </w:r>
      <w:r>
        <w:rPr>
          <w:rFonts w:ascii="Times New Roman" w:cs="Times New Roman" w:eastAsia="Times New Roman" w:hAnsi="Times New Roman"/>
          <w:sz w:val="18"/>
          <w:szCs w:val="18"/>
          <w:color w:val="auto"/>
        </w:rPr>
        <w:t>. We are active in the real estate – 1-4 family mortgage area (referred to as “residential real estate loans”), with approximately 24.33% of our total loans at December 31, 2025, being residential real estate loans. In addition, in 2025, we originated for sale in the secondary market approximately $2.4 billion in residential real estate loans through our Mortgage division. The decision to retain residential real estate loans in our portfolio is dependent upon whether the Bank has sufficient liquidity to fund the needs of customers and if rates are favorable to retain the loans. Retained portfolio loans are made primarily through the Bank’s variable-rate mortgage product offerings. We offer both first and second mortgages on residential real estate. “First liens” are those loans secured by residential real estate for which the Bank has the first right to repayment if the borrower defaults or if the property is sold. “Junior liens” are those loans secured by residential real estate for which the Bank has a subordinated claim on the property. Junior liens carry higher risk because repayment is dependent on the value of the collateral first satisfying the obligation of the first lien holder. In addition, we offer home equity loans or lines of credit and term loans secured by first and second mortgages on the residences of borrowers who elect to use the accumulated equity in their homes for purchases, refinances, home improvements, education and other personal expenditures. Both fixed and variable rate loans are offered with competitive terms and fees. Originations of residential real estate loans are generated through retail efforts in our branches or originations by or referrals from our Mortgage division or online by our retail mortgage originators. We attempt to minimize the risk associated with residential real estate loans by strictly scrutinizing the financial condition of the borrower; typically, we also limit the maximum loan-to-value ratio. With respect to second lien home equity loans or lines of credit, which inherently carry a higher risk of loss upon default, we limit our exposure by limiting these types of loans to borrowers with higher credit scores.</w:t>
      </w:r>
    </w:p>
    <w:p>
      <w:pPr>
        <w:spacing w:after="0" w:line="13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As noted above, we also originate residential real estate loans with the intention of selling them in the secondary market to third party investors or directly to government sponsored entities. In addition to the origination channels mentioned above, mortgage loans held for sale are also originated through wholesale relationships where we purchase loans from smaller banks, credit unions and brokerage agencies. When these loans are sold, we either release or retain the related servicing rights, depending on a number of factors, such as the pricing of such loans in the secondary market, fluctuations in interest rates that would impact the profitability of the loans and other market-related conditions. Residential real estate originations to be sold are sold either on a “best efforts” basis or under a “mandatory delivery” sales agreement. Under a “best efforts” sales agreement, residential real estate originations are locked in at a contractual rate with third party private investors or directly with government sponsored agencies, and we are obligated to sell the mortgages to such investors only if the mortgages are closed and funded. The risk we assume is conditioned upon loan underwriting and market conditions in the national mortgage market. Under a “mandatory delivery” sales agreement, the Company commits to deliver a certain principal amount of mortgage loans to an investor at a specified price and delivery date. Penalties are paid to the investor if we fail to satisfy the contract. The Company does not actively market or originate subprime mortgage loans.</w:t>
      </w:r>
    </w:p>
    <w:p>
      <w:pPr>
        <w:spacing w:after="0" w:line="1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Commercial Real Estate - Owner Occupied</w:t>
      </w:r>
      <w:r>
        <w:rPr>
          <w:rFonts w:ascii="Times New Roman" w:cs="Times New Roman" w:eastAsia="Times New Roman" w:hAnsi="Times New Roman"/>
          <w:sz w:val="18"/>
          <w:szCs w:val="18"/>
          <w:color w:val="auto"/>
        </w:rPr>
        <w:t>. Our commercial real estate - owner occupied loans represented approximately 17.51% of our total loans at December 31, 2025. This portfolio consists of loans in which the owner develops a property with the intention of locating its business there. Payments on these loans are dependent on the successful development and management of the business as well as the borrower’s ability to generate sufficient operating revenue to repay the loan.</w:t>
      </w:r>
    </w:p>
    <w:p>
      <w:pPr>
        <w:spacing w:after="0" w:line="1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Commercial Real Estate - Non-Owner Occupied</w:t>
      </w:r>
      <w:r>
        <w:rPr>
          <w:rFonts w:ascii="Times New Roman" w:cs="Times New Roman" w:eastAsia="Times New Roman" w:hAnsi="Times New Roman"/>
          <w:sz w:val="18"/>
          <w:szCs w:val="18"/>
          <w:color w:val="auto"/>
        </w:rPr>
        <w:t>. Our commercial real estate - non-owner occupied loans represented approximately 32.79% of our total loans at December 31, 2025. This portfolio consists of loans in which the owner develops a property where the source of repayment of the loan will come from the sale or lease of the developed property, such as multi-family properties, retail shopping centers, hotels and storage facilities.</w:t>
      </w:r>
    </w:p>
    <w:p>
      <w:pPr>
        <w:spacing w:after="0" w:line="12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seek to minimize risks relating to all commercial real estate loans – both non-owner occupied and owner occupied – by limiting the maximum loan-to-value ratio and strictly scrutinizing the financial condition of the borrower, the quality of the collateral, the management of the property securing the loan and, where applicable, the financial strength of the tenant occupying the property. Loans are usually structured either to fully amortize over the term of the loan or to balloon after the third or fifth year of the loan, typically with an amortization period not to exceed 20 years. We also actively monitor such financial measures as advance rate, cash flow, collateral value and other appropriate credit factors. In some instances, in addition to our mortgage on the underlying real estate of the business, our commercial real estate loans are secured by other non-real estate collateral, such as equipment or other assets used in the business. To further mitigate our risk, we generally obtain loan guarantees from financially capable parties to the transaction based on a review of the guarantor’s financial statements.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8" w:name="page9"/>
    <w:bookmarkEnd w:id="8"/>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Consumer Loans</w:t>
      </w:r>
      <w:r>
        <w:rPr>
          <w:rFonts w:ascii="Times New Roman" w:cs="Times New Roman" w:eastAsia="Times New Roman" w:hAnsi="Times New Roman"/>
          <w:sz w:val="18"/>
          <w:szCs w:val="18"/>
          <w:color w:val="auto"/>
        </w:rPr>
        <w:t>. Consumer loans which represented approximately 0.57% of our total loans at December 31, 2025, are granted to individuals for the purchase of personal goods. Loss or decline of income by the borrower due to unplanned occurrences represents the primary risk of default to us. In the event of default, a shortfall in the value of the collateral may pose a loss to us in this loan category. Before making a consumer loan, we assess the applicant’s credit history and ability to meet existing and proposed debt obligations. Although the applicant’s creditworthiness is the primary consideration, the underwriting process also includes a comparison of the value of the collateral, if any, to the proposed loan amount. We obtain a lien against the collateral securing the loan and hold title until the loan is repaid in full.</w:t>
      </w:r>
    </w:p>
    <w:p>
      <w:pPr>
        <w:spacing w:after="0" w:line="13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6"/>
          <w:szCs w:val="16"/>
          <w:i w:val="1"/>
          <w:iCs w:val="1"/>
          <w:color w:val="auto"/>
        </w:rPr>
        <w:t xml:space="preserve">Addressing Aggregate Lending Risks. </w:t>
      </w:r>
      <w:r>
        <w:rPr>
          <w:rFonts w:ascii="Times New Roman" w:cs="Times New Roman" w:eastAsia="Times New Roman" w:hAnsi="Times New Roman"/>
          <w:sz w:val="16"/>
          <w:szCs w:val="16"/>
          <w:color w:val="auto"/>
        </w:rPr>
        <w:t>In addition to the steps described above to mitigate the risks posed by any individual loan relationship, management has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implemented a structure that proactively monitors the risk to the Company presented by the Bank’s loan portfolio as a whole. First, we purposefully manage the loan portfolio to avoid excessive concentrations in any particular loan category, industry or geographic region. Our goal is to structure the loan portfolio so that it is well balanced among C&amp;I loans, construction and land development loans, residential real estate loans, commercial real estate - owner occupied loans, commercial real estate - non-owner occupied loans and consumer loans, and also balanced across sub-categories within these broader lending categories (such as, with respect to non-owner occupied commercial real estate loans, multi-family, retail and warehouse/industrial loans) while taking into account current market risks and lending opportunities. With respect to construction and land development loans in particular, management monitors whether the allocation of these loans across geography and asset type heightens the general risk associated with these types of loans. We also monitor concentrations in our construction and land development loans based on guidelines promulgated by banking regulators, which involves evaluating the aggregate value of these loans as a percentage of our risk-based capital (this is referred to as the “100/300 Test” and is discussed in more detail under the “Supervision and Regulation” heading below) as well as monitoring loans considered to be high volatility commercial real estate. A further discussion of the risk reduction policies and procedures applicable to our lending activities can be found in Item 7, Management’s Discussion and Analysis of Financial Condition and Results of Operations, under the heading “Risk Management – Credit Risk and Allowance for Credit Losses on Loans and Unfunded Commitments.”</w:t>
      </w:r>
    </w:p>
    <w:p>
      <w:pPr>
        <w:spacing w:after="0" w:line="33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u w:val="single" w:color="auto"/>
          <w:color w:val="auto"/>
        </w:rPr>
        <w:t>Investment Activities</w:t>
      </w:r>
      <w:r>
        <w:rPr>
          <w:rFonts w:ascii="Times New Roman" w:cs="Times New Roman" w:eastAsia="Times New Roman" w:hAnsi="Times New Roman"/>
          <w:sz w:val="18"/>
          <w:szCs w:val="18"/>
          <w:color w:val="auto"/>
        </w:rPr>
        <w:t>. We acquire investment securities to provide a source for meeting our liquidity needs, to generate investment returns and to supply securities to be used in collateralizing certain deposits and other types of borrowings. We primarily acquire mortgage-backed securities and collateralized mortgage obligations issued by government-sponsored entities such as FNMA, FHLMC and GNMA (colloquially known as “Fannie Mae,” “Freddie Mac” and “Ginnie Mae,” respectively) as well as municipal securities. Generally, cash flows from maturities and calls of our investment securities that are not used to fund loan growth or repay debt are reinvested in investment securities. We also hold investments in corporate debt. At December 31, 2025, the Company’s investment securities included both available for sale and held to maturity classifications.</w:t>
      </w:r>
    </w:p>
    <w:p>
      <w:pPr>
        <w:spacing w:after="0" w:line="13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Investment income generated by our investment activities, both taxable and tax-exempt, accounted for approximately 7.1%, 3.9% and 1.1% of our total gross revenues in 2025, 2024 and 2023, respectively.</w:t>
      </w:r>
    </w:p>
    <w:p>
      <w:pPr>
        <w:spacing w:after="0" w:line="1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u w:val="single" w:color="auto"/>
          <w:color w:val="auto"/>
        </w:rPr>
        <w:t>Deposit Services</w:t>
      </w:r>
      <w:r>
        <w:rPr>
          <w:rFonts w:ascii="Times New Roman" w:cs="Times New Roman" w:eastAsia="Times New Roman" w:hAnsi="Times New Roman"/>
          <w:sz w:val="18"/>
          <w:szCs w:val="18"/>
          <w:color w:val="auto"/>
        </w:rPr>
        <w:t>. We offer a broad range of deposit services and products to our consumer and commercial clients. Through our community branch networks, we offer consumer checking accounts with free online and mobile banking, which includes bill pay and transfer features, remote deposit capture, peer-to-peer payment, interest bearing checking, money market accounts, savings accounts, certificates of deposit, individual retirement accounts and health savings accounts.</w:t>
      </w:r>
    </w:p>
    <w:p>
      <w:pPr>
        <w:spacing w:after="0" w:line="1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our commercial clients, we offer competitive checking and savings services and a suite of treasury management products, including remote deposit capture, account reconciliation, electronic statements, fraud protection via positive pay, ACH origination and wire transfer, lockbox services, overnight investment sweep options, enhanced business Internet banking and mobile banking.</w:t>
      </w:r>
    </w:p>
    <w:p>
      <w:pPr>
        <w:spacing w:after="0" w:line="1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Fees generated through the deposit services we offer accounted for approximately 4.6%, 4.9% and 5.7% of our total gross revenues in 2025, 2024 and 2023, respectively. Excluding brokered deposits (which we did not hold at December 31, 2025), the deposits held by the Bank have been primarily generated within the market areas where our branches are located.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Operations of Wealth Management</w:t>
      </w:r>
    </w:p>
    <w:p>
      <w:pPr>
        <w:spacing w:after="0" w:line="1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Wealth Management segment operates through two divisions: Trust and Financial Services. The Trust division, which is housed in the Bank’s trust department, offers a wide variety of fiduciary and custodial services, including investment advisory, accounting and administrative services (acting as trustee or in other capacities) for qualified retirement and other employee benefit plans, IRAs, personal trusts and estates. Our fees for managing these accounts are based on changes in market values of the assets under management in the account, with the amount of the fee depending on services we provide and the type of account.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9" w:name="page10"/>
    <w:bookmarkEnd w:id="9"/>
    <w:p>
      <w:pPr>
        <w:jc w:val="both"/>
        <w:spacing w:after="0" w:line="252" w:lineRule="auto"/>
        <w:rPr>
          <w:sz w:val="20"/>
          <w:szCs w:val="20"/>
          <w:color w:val="auto"/>
        </w:rPr>
      </w:pPr>
      <w:r>
        <w:rPr>
          <w:rFonts w:ascii="Times New Roman" w:cs="Times New Roman" w:eastAsia="Times New Roman" w:hAnsi="Times New Roman"/>
          <w:sz w:val="18"/>
          <w:szCs w:val="18"/>
          <w:color w:val="auto"/>
        </w:rPr>
        <w:t>The Financial Services division, which operates through Park Place Capital (although the Bank’s trust department maintains some legacy financial service operations), offers specialized products and services to our customers. These products and services include fixed and variable annuities, mutual funds and stocks, some of which are offered through a third party provider. Park Place Capital also provides administrative and compliance services for certain mutual funds.</w:t>
      </w:r>
    </w:p>
    <w:p>
      <w:pPr>
        <w:spacing w:after="0" w:line="1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2025, the Wealth Management segment generated total revenue of $35.5 million, or 2.4% of the Company’s total gross revenues. Wealth Management operations are headquartered in Tupelo, Mississippi, and Birmingham, Alabama, but our products and services are available to customers in all of our markets through our community banks.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Operations of Insurance</w:t>
      </w:r>
    </w:p>
    <w:p>
      <w:pPr>
        <w:spacing w:after="0" w:line="15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Prior to the sale of Renasant Insurance, Inc.’s businesses in July 2024 Renasant Insurance, Inc. offered all lines of commercial and personal insurance through major carriers. Renasant Insurance, Inc. leases the offices it previously occupied to the party that acquired its insurance agency business. Prior to the sale of substantially all of the assets of Southwest Georgia Insurance Services, Inc. on December 31, 2025, its operations were immaterial and, therefore, not considered a separate reportable segment in 2025.</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Community Banks</w:t>
      </w:r>
    </w:p>
    <w:p>
      <w:pPr>
        <w:spacing w:after="0" w:line="16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6"/>
          <w:szCs w:val="16"/>
          <w:color w:val="auto"/>
        </w:rPr>
        <w:t>Vigorous competition exists in all major product and geographic areas in which we conduct banking business. We compete through the Bank for available loans and deposits and the provision of other financial services (such as treasury management) with state, regional and national banks as well as savings and loan associations, credit unions, finance companies, mortgage companies, insurance companies, brokerage firms, factoring companies, fintech companies and investment companies in all of our service areas. All of these numerous institutions compete in the delivery of products and services through availability,</w:t>
      </w:r>
    </w:p>
    <w:p>
      <w:pPr>
        <w:spacing w:after="0" w:line="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quality and pricing. Many of our competitors are larger and have substantially greater resources than we do, including higher total assets and capitalization, larger technology and marketing budgets and a broader offering of financial services, while other competitors are not subject to regulation by federal and state banking regulators, thereby avoiding the costs and other impacts of compliance with federal and state banking regulations.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Wealth Management</w:t>
      </w:r>
    </w:p>
    <w:p>
      <w:pPr>
        <w:spacing w:after="0" w:line="1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Wealth Management segment competes with other banks, brokerage firms, financial advisers and trust companies, which provide one or more of the services and products that we offer. Our wealth management operations compete on the basis of available product lines, rates and fees, as well as reputation and professional expertise. No particular company or group of companies dominates this industry in our markets.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Supervision and Regulation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03"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6"/>
          <w:szCs w:val="16"/>
          <w:color w:val="auto"/>
        </w:rPr>
        <w:t>The U.S. banking industry is extensively regulated under federal and state law. We are a bank holding company registered under the Bank Holding Company Act of 1956, as amended (the “BHC Act”). As a result, we are subject to supervision, regulation and examination by the Board of Governors of the Federal</w:t>
      </w:r>
    </w:p>
    <w:p>
      <w:pPr>
        <w:jc w:val="both"/>
        <w:spacing w:after="0" w:line="213" w:lineRule="exact"/>
        <w:rPr>
          <w:sz w:val="20"/>
          <w:szCs w:val="20"/>
          <w:color w:val="auto"/>
        </w:rPr>
      </w:pPr>
      <w:r>
        <w:rPr>
          <w:rFonts w:ascii="Times New Roman" w:cs="Times New Roman" w:eastAsia="Times New Roman" w:hAnsi="Times New Roman"/>
          <w:sz w:val="18"/>
          <w:szCs w:val="18"/>
          <w:color w:val="auto"/>
        </w:rPr>
        <w:t>Reserve System (the “Federal Reserve”). The Bank is a commercial bank chartered under the laws of the State of Mississippi and became a member of the Federal Reserve System, effective January 31, 2026. As a state member bank, the Bank is subject to supervision, regulation and examination by the Mississippi Department of Banking and Consumer Finance (the “DBCF”), as its chartering authority, and by the Federal Reserve, as its primary federal banking regulator. The Bank’s deposits are insured by the Federal Deposit Insurance Corporation (the “FDIC”), and the Bank is subject to applicable FDIC regulations pertaining to deposit insurance, including deposit insurance assessments and resolution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matters. Because the Bank has more than $10 billion in assets, it is subject to supervision, examination and, where applicable, enforcement by the Consumer Financial Protection Bureau (the “CFPB”) with respect to federal consumer financial protection laws. In addition, as a publicly traded company, the Company is subject to federal securities laws administered by the Securities and Exchange Commission (the “SEC”) and to the listing standards of the New York Stock Exchange (the “NYSE”).</w:t>
      </w:r>
    </w:p>
    <w:p>
      <w:pPr>
        <w:spacing w:after="0" w:line="1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this comprehensive system of supervision and regulation, the growth and earnings performance of the Company and the Bank are affected not only by management decisions and general and local economic conditions, but also by the statutes, rules, regulations and policies administered by the Federal Reserve, the FDIC, the DBCF, the CFPB, the SEC and other federal and state regulatory authorities with jurisdiction over our operations.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0" w:name="page11"/>
    <w:bookmarkEnd w:id="10"/>
    <w:p>
      <w:pPr>
        <w:jc w:val="both"/>
        <w:spacing w:after="0" w:line="247" w:lineRule="auto"/>
        <w:rPr>
          <w:sz w:val="20"/>
          <w:szCs w:val="20"/>
          <w:color w:val="auto"/>
        </w:rPr>
      </w:pPr>
      <w:r>
        <w:rPr>
          <w:rFonts w:ascii="Times New Roman" w:cs="Times New Roman" w:eastAsia="Times New Roman" w:hAnsi="Times New Roman"/>
          <w:sz w:val="18"/>
          <w:szCs w:val="18"/>
          <w:color w:val="auto"/>
        </w:rPr>
        <w:t>The bank regulatory scheme has two primary goals: to maintain a safe and sound banking system and to facilitate the conduct of sound monetary policy. This scheme, including the laws and regulations administered by the CFPB, also seeks to ensure broad, non-discriminatory access to financial services on fair and reasonable terms. This comprehensive system of supervision and regulation is intended primarily to protect the FDIC’s Deposit Insurance Fund (“DIF”), bank depositors, consumers and the public in general, rather than our shareholders or creditors. To this end, federal and state banking laws and regulations govern, among other things, the types of activities in which we and the Bank may engage, the terms and conditions of our products and services and the manner in which we offer our products and services, permissible investments, the level of reserves that the Bank must maintain against deposits, minimum equity capital levels, the nature and amount of collateral required for loans, maximum interest rates that can be charged, the manner and amount of the dividends that may be paid, and corporate activities regarding mergers, acquisitions and the establishment of branch offices.</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federal securities laws are designed to protect investors, maintain the integrity and efficiency of the securities trading markets and facilitate capital formation. These goals are accomplished through rules that restrict the type of activities we can engage in with respect to our publicly-traded securities and through a disclosure regime requiring us to disclose a significant amount of information on an annual, quarterly and current basis.</w:t>
      </w:r>
    </w:p>
    <w:p>
      <w:pPr>
        <w:spacing w:after="0" w:line="12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following discussion summarizes certain elements of the regulatory framework applicable to us and the Bank. This summary is not, however, intended to describe all laws, regulations and policies applicable to us and the Bank, and the description is qualified in its entirety by reference to the full text of applicable statutes, regulations, policies, interpretative letters and other written guidance that are described below. Further, the following discussion addresses the regulatory framework as in effect as of the date of this Annual Report on Form 10-K. Legislation and regulatory action to implement new laws and regulations and to revise or repeal existing federal and Mississippi banking, consumer protection, securities and other applicable laws and regulations or interpretations thereof, sometimes substantially, are continually under consideration by the U.S. Congress, state legislatures and federal and state regulatory agencies. Accordingly, the following discussion must be read in light of the enactment of any new federal or state banking laws or regulations or any amendment or repeal of existing laws, regulations or regulatory guidance, or any change in the policies or the enforcement focus of the regulatory agencies with jurisdiction over the Company’s operations, after the date of this Annual Report on Form 10-K.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Supervision and Regulation of Renasant Corporation</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As a bank holding company registered under the BHC Act, we are subject to regulation, supervision and examination by the Federal Reserve. The Federal Reserve’s authority also extends to any company that we directly or indirectly control, including the Bank, Park Place Capital and any other non-bank subsidiaries. Bank holding companies are subject to particular restrictions on the types of activities in which they may engage and to a range of supervisory requirements and activities, including regulatory enforcement actions for violations of laws and regulations or engaging in unsafe and unsound banking practices.</w:t>
      </w:r>
    </w:p>
    <w:p>
      <w:pPr>
        <w:spacing w:after="0" w:line="16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u w:val="single" w:color="auto"/>
          <w:color w:val="auto"/>
        </w:rPr>
        <w:t>Scope of Permissible Activities</w:t>
      </w:r>
      <w:r>
        <w:rPr>
          <w:rFonts w:ascii="Times New Roman" w:cs="Times New Roman" w:eastAsia="Times New Roman" w:hAnsi="Times New Roman"/>
          <w:sz w:val="18"/>
          <w:szCs w:val="18"/>
          <w:color w:val="auto"/>
        </w:rPr>
        <w:t>. Under the BHC Act, bank holding companies are prohibited from engaging directly or indirectly in activities other than those of banking, managing or controlling banks or furnishing services to or performing services for the Bank and from acquiring a direct or indirect interest in or control of more than 5% of the voting shares of any company that is not a bank or financial holding company. The principal exception to this prohibition is that we may engage, directly or indirectly (including through the ownership of shares of another company), in “banking” and activities found by the Federal Reserve to be “closely related to banking.” Activities currently permitted by the Federal Reserve include, among others, operating a mortgage, finance, credit card or factoring company; providing certain data processing, storage and transmission services; acting as an investment or financial advisor; acting as an insurance agent for certain types of credit-related insurance; leasing personal or real property on a non-operating basis; and providing certain stock brokerage services.</w:t>
      </w:r>
    </w:p>
    <w:p>
      <w:pPr>
        <w:spacing w:after="0" w:line="13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Pursuant to the amendment to the BHC Act effected by the Financial Services Modernization Act of 1999 (commonly referred to as the Gramm-Leach Bliley Act, or the “GLBA”), a bank holding company whose subsidiary deposit institutions are “well capitalized” and “well managed” may elect to become a “financial holding company” and thereby engage without prior Federal Reserve approval in certain banking and non-banking activities that are deemed to be financial in nature or incidental to financial activity. These “financial in nature” activities include securities underwriting, dealing and market making; organizing, sponsoring and managing mutual funds; insurance underwriting and agency activities; merchant banking activities; and other activities that the Federal Reserve has determined to be closely related to banking. No regulatory approval is required for a financial holding company to acquire a company, other than a bank or savings association, engaged in activities that are financial in nature or incidental to activities that are financial in nature, as determined by the Federal Reserve. We elected to become a financial holding company, which election was effective in December 2025.</w:t>
      </w:r>
    </w:p>
    <w:p>
      <w:pPr>
        <w:spacing w:after="0" w:line="13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 dominant theme of the GLBA is functional regulation of financial services, with the primary regulator of the Company or its subsidiaries being the agency that traditionally regulates the activity in which the Company or its subsidiaries wish to engage.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For example, the SEC regulates bank holding company securities transactions, and the various banking regulators oversee our banking activities.</w:t>
      </w:r>
    </w:p>
    <w:p>
      <w:pPr>
        <w:spacing w:after="0" w:line="162" w:lineRule="exact"/>
        <w:rPr>
          <w:sz w:val="20"/>
          <w:szCs w:val="20"/>
          <w:color w:val="auto"/>
        </w:rPr>
      </w:pPr>
    </w:p>
    <w:p>
      <w:pPr>
        <w:jc w:val="both"/>
        <w:spacing w:after="0" w:line="218" w:lineRule="exact"/>
        <w:rPr>
          <w:sz w:val="20"/>
          <w:szCs w:val="20"/>
          <w:color w:val="auto"/>
        </w:rPr>
      </w:pPr>
      <w:r>
        <w:rPr>
          <w:rFonts w:ascii="Times New Roman" w:cs="Times New Roman" w:eastAsia="Times New Roman" w:hAnsi="Times New Roman"/>
          <w:sz w:val="18"/>
          <w:szCs w:val="18"/>
          <w:u w:val="single" w:color="auto"/>
          <w:color w:val="auto"/>
        </w:rPr>
        <w:t>Capital Adequacy Guidelines</w:t>
      </w:r>
      <w:r>
        <w:rPr>
          <w:rFonts w:ascii="Times New Roman" w:cs="Times New Roman" w:eastAsia="Times New Roman" w:hAnsi="Times New Roman"/>
          <w:sz w:val="18"/>
          <w:szCs w:val="18"/>
          <w:color w:val="auto"/>
        </w:rPr>
        <w:t>. The Federal Reserve has adopted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and leverage capital requirements applicable to bank holding companies. These requirements are designed to ensure that bank holding companies maintain capital commensurate with their risk profiles and are substantially similar to the capital requirements applicable to the Bank as a Federal Reserve member bank, which are described below under the headings “Supervision and Regulation of Renasant Bank - Capital Adequacy Guidelines” and “- Prompt Corrective Action (PCA).” The capital rules in the U.S. are based on international standards known as “Basel III.” Under these standards, assets and off-balance sheet items are assigned to broad risk categories, each with appropriate weights. The resulting capital ratios represent capital as a percentage of total risk-weighted assets and off-balance sheet items. In addition to the risk-based capital guidelines, the Federal Reserve has adopted a minimum Tier 1 capital (leverage) ratio, under which a bank holding company must maintain a minimum level of Tier 1 capital to average total consolidated assets of at least 4%.</w:t>
      </w:r>
    </w:p>
    <w:p>
      <w:pPr>
        <w:spacing w:after="0" w:line="18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u w:val="single" w:color="auto"/>
          <w:color w:val="auto"/>
        </w:rPr>
        <w:t>Payment of Dividends; Source of Strength</w:t>
      </w:r>
      <w:r>
        <w:rPr>
          <w:rFonts w:ascii="Times New Roman" w:cs="Times New Roman" w:eastAsia="Times New Roman" w:hAnsi="Times New Roman"/>
          <w:sz w:val="18"/>
          <w:szCs w:val="18"/>
          <w:color w:val="auto"/>
        </w:rPr>
        <w:t>. The Federal Reserve generally requires bank holding companies to pay dividends only out of current operating earnings. The Federal Reserve has issued a supervisory letter advising, among other things, that a bank holding company should inform the Federal Reserve and should eliminate, defer, or significantly reduce its dividends if (i) the bank holding company’s net income available to shareholders for the past four quarters, net of dividends previously paid during that period, is not sufficient to fully fund the dividends; (ii) the bank holding company’s prospective rate of earnings is not consistent with the bank holding company’s capital needs and overall current and prospective financial condition; or (iii) the bank holding company will not meet, or is in danger of not meeting, its minimum regulatory capital adequacy ratios after giving effect to the dividend.</w:t>
      </w:r>
    </w:p>
    <w:p>
      <w:pPr>
        <w:spacing w:after="0" w:line="13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Federal Reserve has provided guidance on the criteria it uses to evaluate a bank holding company’s request to pay dividends in an aggregate amount that will exceed the company’s earnings for the period in which the dividends will be paid. For purposes of this analysis, “dividend” includes not only dividends on preferred and common equity but also dividends on debt underlying trust preferred securities and Tier 1 capital instruments. The criteria evaluates whether the holding company (1) has net income over the past four quarters sufficient to fully fund the proposed dividend (taking into account prior dividends paid during this period), (2) is considering stock repurchases or redemptions in the quarter, (3) does not have a concentration in commercial real estate and (4) is in good supervisory condition, based on its overall condition and its asset quality risk. A holding company not meeting these criteria will require more in-depth consultations with the Federal Reserve.</w:t>
      </w:r>
    </w:p>
    <w:p>
      <w:pPr>
        <w:spacing w:after="0" w:line="1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in the opinion of the Federal Reserve, we or the Bank are engaged in or about to engage in an unsafe or unsound practice (which, depending on the financial condition of the Bank, could include the payment of dividends), the Federal Reserve may require us or the Bank to cease and desist from that practice. The federal banking agencies have indicated that paying dividends that deplete a depository institution or bank holding company’s capital base to an inadequate level would be an unsafe and unsound banking practice.</w:t>
      </w:r>
    </w:p>
    <w:p>
      <w:pPr>
        <w:spacing w:after="0" w:line="13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In addition, a bank holding company is required to serve as a source of financial strength to its subsidiary bank(s). This means that we are expected to use available resources to provide adequate financial resources to the Bank, including during periods of financial stress or adversity, and to maintain the financial flexibility and capital-raising capacity to obtain additional resources for assisting the Bank where necessary. In addition, any capital loans that we make to the Bank are subordinate in right of payment to deposits and to certain other indebtedness of the Bank. In the event of our bankruptcy, any commitment by us to a federal bank regulatory agency to maintain the capital of the Bank will be assumed by the bankruptcy trustee and entitled to a priority of payment.</w:t>
      </w:r>
    </w:p>
    <w:p>
      <w:pPr>
        <w:spacing w:after="0" w:line="10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u w:val="single" w:color="auto"/>
          <w:color w:val="auto"/>
        </w:rPr>
        <w:t>Acquisitions by Bank Holding Companies</w:t>
      </w:r>
      <w:r>
        <w:rPr>
          <w:rFonts w:ascii="Times New Roman" w:cs="Times New Roman" w:eastAsia="Times New Roman" w:hAnsi="Times New Roman"/>
          <w:sz w:val="18"/>
          <w:szCs w:val="18"/>
          <w:color w:val="auto"/>
        </w:rPr>
        <w:t>. The BHC Act requires every bank holding company to obtain the prior approval of the Federal Reserve (subject to waiver under certain circumstances) before it acquires all or substantially all of the assets of any bank, merges or consolidates with another bank holding company or acquires ownership or control of any voting shares of any bank if after such acquisition it would own or control, directly or indirectly, more than 5% of the voting shares of such bank. The Federal Reserve will not approve any acquisition, merger or consolidation that would have a substantially anti-competitive effect, unless the anti-competitive impact of the proposed transaction is clearly outweighed by a greater public interest in meeting the convenience and needs of the community to be served. The Federal Reserve also considers capital adequacy and other financial and managerial resources and future prospects of the companies and the banks concerned, together with the convenience and needs of the community to be served and the record of the bank holding company and its subsidiary bank(s) in combating money laundering activities. Finally, in order to acquire a bank located outside its home state, a bank holding company and its subsidiary institutions must be “well capitalized” and “well managed.”</w:t>
      </w:r>
    </w:p>
    <w:p>
      <w:pPr>
        <w:spacing w:after="0" w:line="13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u w:val="single" w:color="auto"/>
          <w:color w:val="auto"/>
        </w:rPr>
        <w:t>Control Acquisitions</w:t>
      </w:r>
      <w:r>
        <w:rPr>
          <w:rFonts w:ascii="Times New Roman" w:cs="Times New Roman" w:eastAsia="Times New Roman" w:hAnsi="Times New Roman"/>
          <w:sz w:val="18"/>
          <w:szCs w:val="18"/>
          <w:color w:val="auto"/>
        </w:rPr>
        <w:t>. Federal and state laws, including the BHC Act and the Change in Bank Control Act, also impose prior notice or approval requirements and ongoing regulatory requirements on any investor that seeks to acquire direct or indirect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2" w:name="page13"/>
    <w:bookmarkEnd w:id="12"/>
    <w:p>
      <w:pPr>
        <w:jc w:val="both"/>
        <w:spacing w:after="0" w:line="252" w:lineRule="auto"/>
        <w:rPr>
          <w:sz w:val="20"/>
          <w:szCs w:val="20"/>
          <w:color w:val="auto"/>
        </w:rPr>
      </w:pPr>
      <w:r>
        <w:rPr>
          <w:rFonts w:ascii="Times New Roman" w:cs="Times New Roman" w:eastAsia="Times New Roman" w:hAnsi="Times New Roman"/>
          <w:sz w:val="18"/>
          <w:szCs w:val="18"/>
          <w:color w:val="auto"/>
        </w:rPr>
        <w:t>“control” of an FDIC-insured depository institution or bank holding company. “Control” of a depository institution is a facts and circumstances analysis, but generally an investor is deemed to control a depository institution or other company if the investor owns or controls 25% or more of any class of voting securities. For ownership or control at less than the 25% level, there are multiple factors that contribute to whether “control” will be presumed to exist, which depend on the ownership level of the depository institution or bank holding company’s voting securities. These presumptions are rebuttable.</w:t>
      </w:r>
    </w:p>
    <w:p>
      <w:pPr>
        <w:spacing w:after="0" w:line="1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u w:val="single" w:color="auto"/>
          <w:color w:val="auto"/>
        </w:rPr>
        <w:t>Anti-Tying Restrictions</w:t>
      </w:r>
      <w:r>
        <w:rPr>
          <w:rFonts w:ascii="Times New Roman" w:cs="Times New Roman" w:eastAsia="Times New Roman" w:hAnsi="Times New Roman"/>
          <w:sz w:val="18"/>
          <w:szCs w:val="18"/>
          <w:color w:val="auto"/>
        </w:rPr>
        <w:t>. Bank holding companies and their affiliates are prohibited from tying the provision of certain services, such as extensions of credit, to other nonbanking services offered by a bank holding company or its affiliates.</w:t>
      </w:r>
    </w:p>
    <w:p>
      <w:pPr>
        <w:spacing w:after="0" w:line="11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u w:val="single" w:color="auto"/>
          <w:color w:val="auto"/>
        </w:rPr>
        <w:t>Status as a Public Company</w:t>
      </w:r>
      <w:r>
        <w:rPr>
          <w:rFonts w:ascii="Times New Roman" w:cs="Times New Roman" w:eastAsia="Times New Roman" w:hAnsi="Times New Roman"/>
          <w:sz w:val="18"/>
          <w:szCs w:val="18"/>
          <w:color w:val="auto"/>
        </w:rPr>
        <w:t>. As a publicly-traded company, Renasant Corporation is also subject to laws, rules and regulations, as well as the standards of self-regulatory organizations, relating to corporate governance, financial reporting and public disclosure, and auditor independence, including the Sarbanes-Oxley Act of 2002, the Dodd-Frank Wall Street Reform and Consumer Protection Act of 2010 (the “Dodd-Frank Act”), SEC rules and regulations and NYSE listing standards. We incur significant expense in, and devote substantial management time and attention to, complying with these laws, regulations and standards, which are subject to varying interpretations, amendment or outright repeal. We are committed to maintaining high standards of corporate governance, financial reporting and public disclosure, and management continually monitors changes in laws, rules and regulations, as well as best practices, in this area to ensure that we fulfill this commitment.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Supervision and Regulation of Renasant Bank</w:t>
      </w:r>
    </w:p>
    <w:p>
      <w:pPr>
        <w:spacing w:after="0" w:line="125" w:lineRule="exact"/>
        <w:rPr>
          <w:sz w:val="20"/>
          <w:szCs w:val="20"/>
          <w:color w:val="auto"/>
        </w:rPr>
      </w:pPr>
    </w:p>
    <w:p>
      <w:pPr>
        <w:jc w:val="both"/>
        <w:spacing w:after="0" w:line="225" w:lineRule="exact"/>
        <w:rPr>
          <w:sz w:val="20"/>
          <w:szCs w:val="20"/>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As a Mississippi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chartered member of the Federal Reserve System, the Bank is subject to regulation, supervision and examination by the DBCF and by the Federal Reserve. The Federal Reserve serves as the Bank’s primary federal banking regulator. The Bank is also subject to applicable FDIC regulations governing FDIC</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insured depository institutions. Because the Bank has more than $10 billion in assets, its compliance with federal consumer financial protection laws is subject to supervision and examination by the CFPB.</w:t>
      </w:r>
    </w:p>
    <w:p>
      <w:pPr>
        <w:spacing w:after="0" w:line="103"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u w:val="single" w:color="auto"/>
          <w:color w:val="auto"/>
        </w:rPr>
        <w:t>Insurance of Deposits</w:t>
      </w:r>
      <w:r>
        <w:rPr>
          <w:rFonts w:ascii="Times New Roman" w:cs="Times New Roman" w:eastAsia="Times New Roman" w:hAnsi="Times New Roman"/>
          <w:sz w:val="18"/>
          <w:szCs w:val="18"/>
          <w:color w:val="auto"/>
        </w:rPr>
        <w:t>. The Bank’s deposits are insured up to applicable limits by the FDIC, which administers the DIF and assesses FDIC</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insured depository institutions, including the Bank, to fund the federal deposit insurance system.</w:t>
      </w:r>
    </w:p>
    <w:p>
      <w:pPr>
        <w:spacing w:after="0" w:line="141" w:lineRule="exact"/>
        <w:rPr>
          <w:sz w:val="20"/>
          <w:szCs w:val="20"/>
          <w:color w:val="auto"/>
        </w:rPr>
      </w:pPr>
    </w:p>
    <w:p>
      <w:pPr>
        <w:jc w:val="both"/>
        <w:spacing w:after="0" w:line="214" w:lineRule="exact"/>
        <w:rPr>
          <w:sz w:val="20"/>
          <w:szCs w:val="20"/>
          <w:color w:val="auto"/>
        </w:rPr>
      </w:pPr>
      <w:r>
        <w:rPr>
          <w:rFonts w:ascii="Times New Roman" w:cs="Times New Roman" w:eastAsia="Times New Roman" w:hAnsi="Times New Roman"/>
          <w:sz w:val="18"/>
          <w:szCs w:val="18"/>
          <w:color w:val="auto"/>
        </w:rPr>
        <w:t>To fund the DIF, FDIC-insured banks are required to pay deposit insurance assessments to the FDIC on a quarterly basis. An institution’s assessment is based on its average consolidated total assets less its average tangible equity during the assessment period. Because the Bank has assets in excess of $10 billion, its assessment rate is determined using a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methodology applicable to larger institutions. In addition, the FDIC has authority to impose special assessments on insured depository institutions in certain circumstances, and the Bank could be subject to a surcharge designed to increase the DIF to specified levels.</w:t>
      </w:r>
    </w:p>
    <w:p>
      <w:pPr>
        <w:spacing w:after="0" w:line="14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FDIC may terminate the deposit insurance of any insured depository institution, including the Bank, if it determines after a hearing that the institution has engaged or is engaging in unsafe or unsound practices, is in an unsafe or unsound condition to continue operations or has violated any applicable law, regulation, order or any condition imposed by an agreement with the FDIC. If the FDIC terminates an institution’s deposit insurance, accounts insured at the time of the termination, less withdrawals, will continue to be insured for a period of six months to two years, as determined by the FDIC. We are not aware of any existing circumstances that would result in termination of the Bank’s deposit insurance.</w:t>
      </w:r>
    </w:p>
    <w:p>
      <w:pPr>
        <w:spacing w:after="0" w:line="1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u w:val="single" w:color="auto"/>
          <w:color w:val="auto"/>
        </w:rPr>
        <w:t>Interstate Banking and Branching</w:t>
      </w:r>
      <w:r>
        <w:rPr>
          <w:rFonts w:ascii="Times New Roman" w:cs="Times New Roman" w:eastAsia="Times New Roman" w:hAnsi="Times New Roman"/>
          <w:sz w:val="18"/>
          <w:szCs w:val="18"/>
          <w:color w:val="auto"/>
        </w:rPr>
        <w:t>. Under federal and Mississippi law, the Bank may establish additional branch offices within Mississippi, subject to the approval of the DBCF, and the Bank can also establish additional branch offices outside Mississippi, subject to prior regulatory approval, so long as the laws of the state where the branch will be located would permit a state bank chartered in that state to establish a branch. Finally, the Bank may also establish offices in other states by merging with banks or by purchasing branches and related assets of banks in other states, subject to certain restrictions.</w:t>
      </w:r>
    </w:p>
    <w:p>
      <w:pPr>
        <w:spacing w:after="0" w:line="1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The restrictions and guidelines with respect to the Company’s payment of dividends are described above. As a practical matter, for so long as our operations chiefly consist of the operation of the Bank, the Bank will remain our source of dividend payments. Accordingly, our ability to pay dividends depends upon the Bank’s earnings and financial condition.</w:t>
      </w:r>
    </w:p>
    <w:p>
      <w:pPr>
        <w:spacing w:after="0" w:line="12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ability of the Bank to pay dividends is restricted by federal and state laws, regulations and policies. The approval of the DBCF is required prior to the Bank paying dividends to the Company, and under certain circumstances the approval or non-objection of the Federal Reserve may be required. Under Mississippi law, a Mississippi bank may not pay dividends unless its earned surplus is in excess of three times capital stock. A Mississippi bank with earned surplus in excess of three times capital stock may pay a dividend, subject to the approval of the DBCF. Under federal regulations, a member bank may not pay a dividend without prior approval from the Federal Reserve if either (1) the total of all dividends declared during the calendar year, including the proposed dividend, exceeds the sum of the bank’s net income for the current year plus its retained net income of the prior two calendar years or (2) the dividend would exceed the bank’s undivided profits as reportable on its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3" w:name="page14"/>
    <w:bookmarkEnd w:id="13"/>
    <w:p>
      <w:pPr>
        <w:jc w:val="both"/>
        <w:spacing w:after="0" w:line="250" w:lineRule="auto"/>
        <w:rPr>
          <w:sz w:val="20"/>
          <w:szCs w:val="20"/>
          <w:color w:val="auto"/>
        </w:rPr>
      </w:pPr>
      <w:r>
        <w:rPr>
          <w:rFonts w:ascii="Times New Roman" w:cs="Times New Roman" w:eastAsia="Times New Roman" w:hAnsi="Times New Roman"/>
          <w:sz w:val="18"/>
          <w:szCs w:val="18"/>
          <w:color w:val="auto"/>
        </w:rPr>
        <w:t>Reports of Condition and Income. In the latter case, the dividend also requires approval by at least two-thirds of the shareholders of each class of stock outstanding. Federal Reserve regulations also limit the amount the Bank may loan to the Company unless such loans are collateralized by specific obligations. In addition, Section 38 of the Federal Deposit Insurance Act restricts capital distributions, including dividends, if the Bank is undercapitalized or if a proposed distribution would cause it to become undercapitalized, and requires that any such distribution be made in accordance with an approved capital restoration plan and not objected to by the Federal Reserve.</w:t>
      </w:r>
    </w:p>
    <w:p>
      <w:pPr>
        <w:spacing w:after="0" w:line="94" w:lineRule="exact"/>
        <w:rPr>
          <w:sz w:val="20"/>
          <w:szCs w:val="20"/>
          <w:color w:val="auto"/>
        </w:rPr>
      </w:pPr>
    </w:p>
    <w:p>
      <w:pPr>
        <w:jc w:val="both"/>
        <w:spacing w:after="0" w:line="229" w:lineRule="exact"/>
        <w:rPr>
          <w:sz w:val="20"/>
          <w:szCs w:val="20"/>
          <w:color w:val="auto"/>
        </w:rPr>
      </w:pPr>
      <w:r>
        <w:rPr>
          <w:rFonts w:ascii="Times New Roman" w:cs="Times New Roman" w:eastAsia="Times New Roman" w:hAnsi="Times New Roman"/>
          <w:sz w:val="18"/>
          <w:szCs w:val="18"/>
          <w:u w:val="single" w:color="auto"/>
          <w:color w:val="auto"/>
        </w:rPr>
        <w:t>Capital Adequacy Guidelines</w:t>
      </w:r>
      <w:r>
        <w:rPr>
          <w:rFonts w:ascii="Times New Roman" w:cs="Times New Roman" w:eastAsia="Times New Roman" w:hAnsi="Times New Roman"/>
          <w:sz w:val="18"/>
          <w:szCs w:val="18"/>
          <w:color w:val="auto"/>
        </w:rPr>
        <w:t xml:space="preserve"> The Federal Reserve has adopted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and leverage capital requirements applicable to bank holding companies, including the Company, and to state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chartered member banks, including the Bank. While these capital requirements are substantially similar in structure, they are applied and enforced separately at the holding company level and at the Bank level, and compliance is evaluated independently for each entity.</w:t>
      </w:r>
    </w:p>
    <w:p>
      <w:pPr>
        <w:spacing w:after="0" w:line="1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At the holding company level, the Federal Reserve’s capital rules are designed to ensure that bank holding companies maintain capital commensurate with their consolidated risk profiles and serve as a source of financial strength to their subsidiary banks. Under these guidelines, assets and off-balance sheet items are assigned to broad risk categories, each with appropriate weights. The resulting capital ratios represent capital as a percentage of total risk-weighted assets and off-balance sheet items.</w:t>
      </w:r>
    </w:p>
    <w:p>
      <w:pPr>
        <w:spacing w:after="0" w:line="92" w:lineRule="exact"/>
        <w:rPr>
          <w:sz w:val="20"/>
          <w:szCs w:val="20"/>
          <w:color w:val="auto"/>
        </w:rPr>
      </w:pPr>
    </w:p>
    <w:p>
      <w:pPr>
        <w:jc w:val="both"/>
        <w:spacing w:after="0" w:line="217" w:lineRule="exact"/>
        <w:rPr>
          <w:sz w:val="20"/>
          <w:szCs w:val="20"/>
          <w:color w:val="auto"/>
        </w:rPr>
      </w:pPr>
      <w:r>
        <w:rPr>
          <w:rFonts w:ascii="Times New Roman" w:cs="Times New Roman" w:eastAsia="Times New Roman" w:hAnsi="Times New Roman"/>
          <w:sz w:val="18"/>
          <w:szCs w:val="18"/>
          <w:color w:val="auto"/>
        </w:rPr>
        <w:t>At the Bank level, the Federal Reserve has adopted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capital, leverage capital and capital conservation buffer requirements applicable to member banks that are substantially similar to the Basel III capital framework applicable to bank holding companies but are calculated and enforced on a standalone basis. Under the current risk-based capital adequacy guidelines, the Bank is required to maintain (1) a ratio of common equity Tier 1 capital (“CET1”) to total risk-weighted assets of not less than 4.5%; (2) a minimum leverage capital ratio of 4%; (3) a minimum Tier 1 risk-based capital ratio of 6%; and (4) a minimum total risk-based capital ratio of 8%. CET1 generally consists of common stock, retained earnings, accumulated other comprehensive income and certain minority interests, less certain adjustments and deductions. In addition, the Bank must maintain a “capital conservation buffer” that is 2.5% of CET1 to risk-weighted assets in addition to the amount necessary to meet minimum risk-based capital requirements. The capital conservation buffer is designed to absorb losses during periods of economic stress. If our ratio of CET1 to risk-weighted capital is below the capital conservation buffer, we will face restrictions on our ability to pay dividends, repurchase our outstanding stock and make certain discretionary bonus payments.</w:t>
      </w:r>
    </w:p>
    <w:p>
      <w:pPr>
        <w:spacing w:after="0" w:line="14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In addition, the Federal Reserve, the FDIC and the Office of the Comptroller of the Currency rules for calculating risk-weighted assets have been set to enhance risk sensitivity by incorporating the Basel III standards, which affect the calculation of the denominator of a banking organization’s risk-based capital ratios to reflect the higher-risk nature of certain types of loans. These standards explicitly identify concentration of credit risk and certain risks arising from non-traditional activities, and the management of such risks, as important qualitative factors to consider in assessing an institution’s overall capital adequacy.</w:t>
      </w:r>
    </w:p>
    <w:p>
      <w:pPr>
        <w:spacing w:after="0" w:line="1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Federal regulators’ market risk rules are applicable to covered institutions—those with aggregate trading assets and trading liabilities of at least 10% of their total assets or at least $1 billion. The rules specify the methodology for calculating the amount of risk-weighted assets related to trading assets and include, among other things, the addition of a component for stressed value at risk.</w:t>
      </w:r>
    </w:p>
    <w:p>
      <w:pPr>
        <w:spacing w:after="0" w:line="1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Failure to meet applicable capital requirements at the bank level may subject the Bank to restrictions on its activities, growth, dividend payments and other supervisory actions, including those imposed under the prompt corrective action framework. See “Prompt Corrective Action (PCA)” immediately below for additional information. Failure to meet applicable capital requirements at the holding company level may result in supervisory limitations on dividends, stock repurchases, acquisitions or other corporate actions. For a detailed discussion of the Company’s capital ratios, see Note 21, “Regulatory Matters,” in the Notes to Consolidated Financial Statements in Item 8, Financial Statements and Supplementary Data, in this report.</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Prompt Corrective Action (PCA)</w:t>
      </w:r>
      <w:r>
        <w:rPr>
          <w:rFonts w:ascii="Times New Roman" w:cs="Times New Roman" w:eastAsia="Times New Roman" w:hAnsi="Times New Roman"/>
          <w:sz w:val="18"/>
          <w:szCs w:val="18"/>
          <w:color w:val="auto"/>
        </w:rPr>
        <w:t>. Each federal banking agency (including the Federal Reserve) is required to implement a system of prompt corrective action for depository institutions it regulates, and the federal banking agencies have adopted substantially similar regulations to implement this mandate. Under current regulations, a bank is:</w:t>
      </w:r>
    </w:p>
    <w:p>
      <w:pPr>
        <w:spacing w:after="0" w:line="125" w:lineRule="exact"/>
        <w:rPr>
          <w:sz w:val="20"/>
          <w:szCs w:val="20"/>
          <w:color w:val="auto"/>
        </w:rPr>
      </w:pPr>
    </w:p>
    <w:p>
      <w:pPr>
        <w:jc w:val="both"/>
        <w:ind w:firstLine="391"/>
        <w:spacing w:after="0" w:line="257" w:lineRule="auto"/>
        <w:tabs>
          <w:tab w:leader="none" w:pos="6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well capitalized</w:t>
      </w:r>
      <w:r>
        <w:rPr>
          <w:rFonts w:ascii="Times New Roman" w:cs="Times New Roman" w:eastAsia="Times New Roman" w:hAnsi="Times New Roman"/>
          <w:sz w:val="18"/>
          <w:szCs w:val="18"/>
          <w:color w:val="auto"/>
        </w:rPr>
        <w:t>” if it has total risk-based capital of 10% or more, has a Tier 1 risk-based ratio of 8% or more, has a common equity Tier 1 capital ratio of 6.5%, has a Tier 1 leverage capital ratio of 5% or more and is not subject to any order or final capital directive to meet and maintain a specific capital level for any capital measure;</w:t>
      </w:r>
    </w:p>
    <w:p>
      <w:pPr>
        <w:spacing w:after="0" w:line="124" w:lineRule="exact"/>
        <w:rPr>
          <w:rFonts w:ascii="Times New Roman" w:cs="Times New Roman" w:eastAsia="Times New Roman" w:hAnsi="Times New Roman"/>
          <w:sz w:val="18"/>
          <w:szCs w:val="18"/>
          <w:color w:val="auto"/>
        </w:rPr>
      </w:pPr>
    </w:p>
    <w:p>
      <w:pPr>
        <w:ind w:firstLine="391"/>
        <w:spacing w:after="0" w:line="335" w:lineRule="auto"/>
        <w:tabs>
          <w:tab w:leader="none" w:pos="634"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adequately capitalized</w:t>
      </w:r>
      <w:r>
        <w:rPr>
          <w:rFonts w:ascii="Times New Roman" w:cs="Times New Roman" w:eastAsia="Times New Roman" w:hAnsi="Times New Roman"/>
          <w:sz w:val="16"/>
          <w:szCs w:val="16"/>
          <w:color w:val="auto"/>
        </w:rPr>
        <w:t>” if it has a total risk-based capital ratio of 8% or more, a Tier 1 risk-based capital ratio of 6% or more, a common equity Tier 1 capital ratio of 4.5% and a Tier 1 leverage capital ratio of 4% or more (3% under certain circumstances) and does not meet the definition of “well capitalized”;</w:t>
      </w:r>
    </w:p>
    <w:p>
      <w:pPr>
        <w:spacing w:after="0" w:line="65" w:lineRule="exact"/>
        <w:rPr>
          <w:rFonts w:ascii="Times New Roman" w:cs="Times New Roman" w:eastAsia="Times New Roman" w:hAnsi="Times New Roman"/>
          <w:sz w:val="16"/>
          <w:szCs w:val="16"/>
          <w:color w:val="auto"/>
        </w:rPr>
      </w:pPr>
    </w:p>
    <w:p>
      <w:pPr>
        <w:ind w:firstLine="391"/>
        <w:spacing w:after="0" w:line="271" w:lineRule="auto"/>
        <w:tabs>
          <w:tab w:leader="none" w:pos="6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undercapitalized</w:t>
      </w:r>
      <w:r>
        <w:rPr>
          <w:rFonts w:ascii="Times New Roman" w:cs="Times New Roman" w:eastAsia="Times New Roman" w:hAnsi="Times New Roman"/>
          <w:sz w:val="18"/>
          <w:szCs w:val="18"/>
          <w:color w:val="auto"/>
        </w:rPr>
        <w:t>” if it has a total risk-based capital ratio that is less than 8%, a Tier 1 risk-based capital ratio that is less than 6%, a common equity Tier 1 capital ratio that is less than 4.5% or a Tier 1 leverage capital ratio that is less than 4%;</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4" w:name="page15"/>
    <w:bookmarkEnd w:id="14"/>
    <w:p>
      <w:pPr>
        <w:ind w:firstLine="391"/>
        <w:spacing w:after="0" w:line="271" w:lineRule="auto"/>
        <w:tabs>
          <w:tab w:leader="none" w:pos="6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significantly undercapitalized</w:t>
      </w:r>
      <w:r>
        <w:rPr>
          <w:rFonts w:ascii="Times New Roman" w:cs="Times New Roman" w:eastAsia="Times New Roman" w:hAnsi="Times New Roman"/>
          <w:sz w:val="18"/>
          <w:szCs w:val="18"/>
          <w:color w:val="auto"/>
        </w:rPr>
        <w:t>” if it has a total risk-based ratio that is less than 6%, a Tier 1 risk-based capital ratio that is less than 4%, a common equity Tier 1 capital ratio of less than 3% or a Tier 1 leverage capital ratio that is less than 3%; and</w:t>
      </w:r>
    </w:p>
    <w:p>
      <w:pPr>
        <w:spacing w:after="0" w:line="111" w:lineRule="exact"/>
        <w:rPr>
          <w:rFonts w:ascii="Times New Roman" w:cs="Times New Roman" w:eastAsia="Times New Roman" w:hAnsi="Times New Roman"/>
          <w:sz w:val="18"/>
          <w:szCs w:val="18"/>
          <w:color w:val="auto"/>
        </w:rPr>
      </w:pPr>
    </w:p>
    <w:p>
      <w:pPr>
        <w:ind w:left="640" w:hanging="249"/>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critically undercapitalized</w:t>
      </w:r>
      <w:r>
        <w:rPr>
          <w:rFonts w:ascii="Times New Roman" w:cs="Times New Roman" w:eastAsia="Times New Roman" w:hAnsi="Times New Roman"/>
          <w:sz w:val="18"/>
          <w:szCs w:val="18"/>
          <w:color w:val="auto"/>
        </w:rPr>
        <w:t>” if it has a ratio of tangible equity to total assets that is equal to or less than 2%.</w:t>
      </w:r>
    </w:p>
    <w:p>
      <w:pPr>
        <w:spacing w:after="0" w:line="16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 bank’s capital classification affects the frequency of regulatory examinations, the bank’s ability to engage in certain activities and the deposit insurance premiums paid by the bank. In addition, federal banking regulators must take various mandatory supervisory actions, and may take other discretionary actions, with respect to institutions in the three undercapitalized categories. The severity of the action depends upon the capital category in which the institution is placed. For example, undercapitalized depository institutions are subject to growth limitations and restrictions on borrowing from the Federal Reserve System and are required to submit capital restoration plans. An undercapitalized institution also is generally prohibited from increasing its average total assets, making acquisitions, establishing any branches or engaging in any new line of business, except under a capital restoration plan accepted by the applicable federal regulatory authority. Significantly undercapitalized depository institutions may be subject to a number of requirements and restrictions, including orders to sell sufficient voting stock to become adequately capitalized, requirements to reduce total assets, and cessation of receipt of deposits from correspondent banks. Generally, banking regulators must appoint a receiver or conservator for an institution that is critically undercapitalized.</w:t>
      </w:r>
    </w:p>
    <w:p>
      <w:pPr>
        <w:spacing w:after="0" w:line="1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Section 38 of the FDIA and related regulations also specify circumstances under which the Federal Reserve may reclassify a well-capitalized bank as adequately capitalized and may require an adequately capitalized bank or an undercapitalized bank to comply with supervisory actions as if it were in the next lower category (except that the Federal Reserve may not reclassify a significantly undercapitalized bank as critically undercapitalized).</w:t>
      </w:r>
    </w:p>
    <w:p>
      <w:pPr>
        <w:spacing w:after="0" w:line="1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provisions discussed above, as well as any other aspects of current or proposed regulatory or legislative changes to laws applicable to the financial industry, may impact the profitability of our business activities and may change certain of our business practices, including the ability to offer new products, obtain financing, attract deposits, make loans, and achieve satisfactory interest spreads, and could expose us to additional costs, including increased compliance costs. These changes also may require us to invest significant management attention and resources to make any necessary changes to operations in order to comply, and could therefore also materially and adversely affect our business, financial condition and results of operations.</w:t>
      </w:r>
    </w:p>
    <w:p>
      <w:pPr>
        <w:spacing w:after="0" w:line="94" w:lineRule="exact"/>
        <w:rPr>
          <w:sz w:val="20"/>
          <w:szCs w:val="20"/>
          <w:color w:val="auto"/>
        </w:rPr>
      </w:pPr>
    </w:p>
    <w:p>
      <w:pPr>
        <w:jc w:val="both"/>
        <w:spacing w:after="0" w:line="225" w:lineRule="exact"/>
        <w:rPr>
          <w:sz w:val="20"/>
          <w:szCs w:val="20"/>
          <w:color w:val="auto"/>
        </w:rPr>
      </w:pPr>
      <w:r>
        <w:rPr>
          <w:rFonts w:ascii="Times New Roman" w:cs="Times New Roman" w:eastAsia="Times New Roman" w:hAnsi="Times New Roman"/>
          <w:sz w:val="18"/>
          <w:szCs w:val="18"/>
          <w:u w:val="single" w:color="auto"/>
          <w:color w:val="auto"/>
        </w:rPr>
        <w:t>Interchange Fees</w:t>
      </w:r>
      <w:r>
        <w:rPr>
          <w:rFonts w:ascii="Times New Roman" w:cs="Times New Roman" w:eastAsia="Times New Roman" w:hAnsi="Times New Roman"/>
          <w:sz w:val="18"/>
          <w:szCs w:val="18"/>
          <w:color w:val="auto"/>
        </w:rPr>
        <w:t>. Section 1075 of the Dodd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Frank Act (often referred to as the “Durbin Amendment”) and the Federal Reserve’s Regulation II establish standards for debit card interchange fees and related routing and exclusivity requirements for covered issuers. Regulation II is enforced by an institution’s federal functional regulator, and the Federal Reserve is responsible for enforcement with respect to state member banks. Regulation II and related standards have been the subject of ongoing legal and regulatory developments, which could affect debit card interchange fee standards and related requirements.</w:t>
      </w:r>
    </w:p>
    <w:p>
      <w:pPr>
        <w:spacing w:after="0" w:line="103" w:lineRule="exact"/>
        <w:rPr>
          <w:sz w:val="20"/>
          <w:szCs w:val="20"/>
          <w:color w:val="auto"/>
        </w:rPr>
      </w:pPr>
    </w:p>
    <w:p>
      <w:pPr>
        <w:jc w:val="both"/>
        <w:spacing w:after="0" w:line="225" w:lineRule="exact"/>
        <w:rPr>
          <w:sz w:val="20"/>
          <w:szCs w:val="20"/>
          <w:color w:val="auto"/>
        </w:rPr>
      </w:pPr>
      <w:r>
        <w:rPr>
          <w:rFonts w:ascii="Times New Roman" w:cs="Times New Roman" w:eastAsia="Times New Roman" w:hAnsi="Times New Roman"/>
          <w:sz w:val="18"/>
          <w:szCs w:val="18"/>
          <w:u w:val="single" w:color="auto"/>
          <w:color w:val="auto"/>
        </w:rPr>
        <w:t>Activities and Investments of Insured State-Chartered Banks</w:t>
      </w:r>
      <w:r>
        <w:rPr>
          <w:rFonts w:ascii="Times New Roman" w:cs="Times New Roman" w:eastAsia="Times New Roman" w:hAnsi="Times New Roman"/>
          <w:sz w:val="18"/>
          <w:szCs w:val="18"/>
          <w:color w:val="auto"/>
        </w:rPr>
        <w:t>. FDIC</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insured state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chartered banks are limited to engaging, as principal, in activities and investments that are permissible for national banks, unless the FDIC has determined that a particular activity would pose no significant risk to the DIF and the bank satisfies applicable capital requirements. In addition, because the Bank is a member of the Federal Reserve System, it is subject to the Federal Reserve’s authority to supervise, regulate and examine its activities and to impose conditions of membership. The Federal Reserve may limit, condition or prohibit activities that are otherwise authorized under state law or permitted by the FDIC if such activities are determined to be inconsistent with applicable federal law, supervisory expectations or safety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soundness standards.</w:t>
      </w:r>
    </w:p>
    <w:p>
      <w:pPr>
        <w:spacing w:after="0" w:line="114"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Accordingly, the Bank’s ability to engage in activities or investments that are not permissible for national banks generally depends on obtaining any required FDIC approvals and satisfying applicable Federal Reserve requirements. These limitations and approval processes may restrict the Bank’s ability to pursue certain business strategies, introduce new products or services, or expand existing activities, and may increase regulatory compliance costs or result in delays.</w:t>
      </w:r>
    </w:p>
    <w:p>
      <w:pPr>
        <w:spacing w:after="0" w:line="54" w:lineRule="exact"/>
        <w:rPr>
          <w:sz w:val="20"/>
          <w:szCs w:val="20"/>
          <w:color w:val="auto"/>
        </w:rPr>
      </w:pPr>
    </w:p>
    <w:p>
      <w:pPr>
        <w:jc w:val="both"/>
        <w:spacing w:after="0" w:line="225" w:lineRule="exact"/>
        <w:rPr>
          <w:sz w:val="20"/>
          <w:szCs w:val="20"/>
          <w:color w:val="auto"/>
        </w:rPr>
      </w:pPr>
      <w:r>
        <w:rPr>
          <w:rFonts w:ascii="Times New Roman" w:cs="Times New Roman" w:eastAsia="Times New Roman" w:hAnsi="Times New Roman"/>
          <w:sz w:val="18"/>
          <w:szCs w:val="18"/>
          <w:u w:val="single" w:color="auto"/>
          <w:color w:val="auto"/>
        </w:rPr>
        <w:t>Safety and Soundness</w:t>
      </w:r>
      <w:r>
        <w:rPr>
          <w:rFonts w:ascii="Times New Roman" w:cs="Times New Roman" w:eastAsia="Times New Roman" w:hAnsi="Times New Roman"/>
          <w:sz w:val="18"/>
          <w:szCs w:val="18"/>
          <w:color w:val="auto"/>
        </w:rPr>
        <w:t>. The Federal Reserve has adopted safety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soundness standards applicable to state member banks that address, among other things, capital adequacy, asset quality, management practices, earnings, liquidity and sensitivity to market risk, as well as internal controls, information systems, corporate governance, compensation practices and enterprise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wide risk management. These standards are reflected in statutes, regulations, supervisory guidance and examination frameworks used by the Federal Reserve in assessing a bank’s overall condition and risk profile.</w:t>
      </w:r>
    </w:p>
    <w:p>
      <w:pPr>
        <w:spacing w:after="0" w:line="103" w:lineRule="exact"/>
        <w:rPr>
          <w:sz w:val="20"/>
          <w:szCs w:val="20"/>
          <w:color w:val="auto"/>
        </w:rPr>
      </w:pPr>
    </w:p>
    <w:p>
      <w:pPr>
        <w:jc w:val="both"/>
        <w:spacing w:after="0" w:line="225" w:lineRule="exact"/>
        <w:rPr>
          <w:sz w:val="20"/>
          <w:szCs w:val="20"/>
          <w:color w:val="auto"/>
        </w:rPr>
      </w:pPr>
      <w:r>
        <w:rPr>
          <w:rFonts w:ascii="Times New Roman" w:cs="Times New Roman" w:eastAsia="Times New Roman" w:hAnsi="Times New Roman"/>
          <w:sz w:val="18"/>
          <w:szCs w:val="18"/>
          <w:color w:val="auto"/>
        </w:rPr>
        <w:t>If the Bank fails to meet applicable safety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soundness standards or is determined to be engaging in unsafe or unsound practices, the Federal Reserve may require the Bank to take corrective actions, including submitting and implementing capital restoration or other remedial plans, strengthening risk management or internal controls, limiting or suspending certain activities, restricting growth, dividend payments or executive compensation, or increasing supervisory oversight. In more serious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5" w:name="page16"/>
    <w:bookmarkEnd w:id="15"/>
    <w:p>
      <w:pPr>
        <w:jc w:val="both"/>
        <w:spacing w:after="0" w:line="239" w:lineRule="exact"/>
        <w:rPr>
          <w:sz w:val="20"/>
          <w:szCs w:val="20"/>
          <w:color w:val="auto"/>
        </w:rPr>
      </w:pPr>
      <w:r>
        <w:rPr>
          <w:rFonts w:ascii="Times New Roman" w:cs="Times New Roman" w:eastAsia="Times New Roman" w:hAnsi="Times New Roman"/>
          <w:sz w:val="18"/>
          <w:szCs w:val="18"/>
          <w:color w:val="auto"/>
        </w:rPr>
        <w:t>circumstances, the Federal Reserve and other banking regulators may impose formal enforcement actions, such as written agreements, cease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desist orders, civil money penalties or other sanctions</w:t>
      </w:r>
    </w:p>
    <w:p>
      <w:pPr>
        <w:spacing w:after="0" w:line="14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u w:val="single" w:color="auto"/>
          <w:color w:val="auto"/>
        </w:rPr>
        <w:t>100/300 Test</w:t>
      </w:r>
      <w:r>
        <w:rPr>
          <w:rFonts w:ascii="Times New Roman" w:cs="Times New Roman" w:eastAsia="Times New Roman" w:hAnsi="Times New Roman"/>
          <w:sz w:val="18"/>
          <w:szCs w:val="18"/>
          <w:color w:val="auto"/>
        </w:rPr>
        <w:t>. Federal banking regulators use certain criteria to identify financial institutions that are potentially exposed to significant commercial real estate (“CRE”) concentration risk. Among other things, an institution will be deemed to potentially have significant CRE concentration risk exposure if, based on its call report, either (1) total loans classified as acquisition, development and construction (“ADC”) loans represent 100% or more of the institution’s total capital or (2) total CRE loans, which consists of ADC and non-owner occupied CRE loans as defined in regulatory guidance, represent 300% or more the institution’s total capital, where the balance of the institution’s CRE loan portfolio has increased by 50% or more during the prior 36 months. The foregoing criteria are commonly referred to as the 100/300 Test. As of December 31, 2025, our ADC loans represented 66% of our total bank level capital, and our total CRE loans represented 283% of our Bank level capital.</w:t>
      </w:r>
    </w:p>
    <w:p>
      <w:pPr>
        <w:spacing w:after="0" w:line="13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u w:val="single" w:color="auto"/>
          <w:color w:val="auto"/>
        </w:rPr>
        <w:t>Consumer Protection</w:t>
      </w:r>
      <w:r>
        <w:rPr>
          <w:rFonts w:ascii="Times New Roman" w:cs="Times New Roman" w:eastAsia="Times New Roman" w:hAnsi="Times New Roman"/>
          <w:sz w:val="18"/>
          <w:szCs w:val="18"/>
          <w:color w:val="auto"/>
        </w:rPr>
        <w:t>. We are subject to a broad array of federal and state laws designed to ensure that we offer our products and services in a non-discriminatory manner and to protect consumers in connection with our lending and deposit-taking activities. These statutes include the Equal Credit Opportunity Act, the Fair Credit Reporting Act, the Truth in Lending Act, the Truth in Savings Act, the Home Mortgage Disclosure Act, the Real Estate Settlement Procedures Act, the Electronic Funds Transfer Act, and, in some cases, their respective state law counterparts. Under these laws, the CFPB has broad regulatory, supervisory and enforcement authority over the consumer financial products and services we offer. Among other things, the CFPB is responsible for enforcing the Dodd-Frank Act’s prohibition on unfair, deceptive, or abusive acts or practices.</w:t>
      </w:r>
    </w:p>
    <w:p>
      <w:pPr>
        <w:spacing w:after="0" w:line="133"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8"/>
          <w:szCs w:val="18"/>
          <w:color w:val="auto"/>
        </w:rPr>
        <w:t>With respect to mortgage lending, the CFPB has issued regulations governing the ability to repay, qualified mortgages, mortgage servicing, appraisals and compensation of mortgage lenders. These regulations limit the type of mortgage products that the Bank can offer as well as our ability to enforce delinquent mortgage loans. Federal banking agencies and the CFPB adopted interagency quality control standards for the use of automated valuation models (“AVMs”) in certain mortgage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valuations, which became effective on October 1, 2025.</w:t>
      </w:r>
    </w:p>
    <w:p>
      <w:pPr>
        <w:spacing w:after="0" w:line="113" w:lineRule="exact"/>
        <w:rPr>
          <w:sz w:val="20"/>
          <w:szCs w:val="20"/>
          <w:color w:val="auto"/>
        </w:rPr>
      </w:pPr>
    </w:p>
    <w:p>
      <w:pPr>
        <w:jc w:val="both"/>
        <w:spacing w:after="0" w:line="215" w:lineRule="exact"/>
        <w:rPr>
          <w:sz w:val="20"/>
          <w:szCs w:val="20"/>
          <w:color w:val="auto"/>
        </w:rPr>
      </w:pPr>
      <w:r>
        <w:rPr>
          <w:rFonts w:ascii="Times New Roman" w:cs="Times New Roman" w:eastAsia="Times New Roman" w:hAnsi="Times New Roman"/>
          <w:sz w:val="18"/>
          <w:szCs w:val="18"/>
          <w:color w:val="auto"/>
        </w:rPr>
        <w:t>The CFPB has also issued rules integrating the required disclosures under the Truth in Lending Act, the Truth in Savings Act and the Real Estate Settlement Procedures Act. In addition, the CFPB has issued and amended rules implementing Section 1071 of the Dodd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Frank Act relating to the collection and reporting of certain small business lending data, including extensions of compliance dates; these requirements have been, and may continue to be, affected by rulemaking and litigation.</w:t>
      </w:r>
    </w:p>
    <w:p>
      <w:pPr>
        <w:spacing w:after="0" w:line="14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u w:val="single" w:color="auto"/>
          <w:color w:val="auto"/>
        </w:rPr>
        <w:t>Community Reinvestment Act</w:t>
      </w:r>
      <w:r>
        <w:rPr>
          <w:rFonts w:ascii="Times New Roman" w:cs="Times New Roman" w:eastAsia="Times New Roman" w:hAnsi="Times New Roman"/>
          <w:sz w:val="18"/>
          <w:szCs w:val="18"/>
          <w:color w:val="auto"/>
        </w:rPr>
        <w:t>. The Bank is subject to the Community Reinvestment Act (the “CRA”), under which the Bank’s record in meeting the credit needs of its entire community, including low- and moderate-income neighborhoods, is periodically assessed. This assessment is taken into account when evaluating any application we submit for, among other things, approval of the acquisition or establishment of a branch or other deposit facility, an office relocation, a merger or the acquisition of shares of capital stock of another financial institution. Under the CRA, institutions are assigned a rating of “Outstanding,” “Satisfactory,” “Needs to improve,” or “Unsatisfactory.” The Bank received an overall “Satisfactory” rating by the FDIC in its most recent CRA assessment.</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u w:val="single" w:color="auto"/>
          <w:color w:val="auto"/>
        </w:rPr>
        <w:t>Financial Privacy Requirements</w:t>
      </w:r>
      <w:r>
        <w:rPr>
          <w:rFonts w:ascii="Times New Roman" w:cs="Times New Roman" w:eastAsia="Times New Roman" w:hAnsi="Times New Roman"/>
          <w:sz w:val="16"/>
          <w:szCs w:val="16"/>
          <w:color w:val="auto"/>
        </w:rPr>
        <w:t>. Federal law and regulations limit a financial institution’s ability to share a customer’s financial information with unaffiliated third parties and contain extensive protections for a customer’s private information. Specifically, these provisions require all financial institutions offering financial products or services to retail customers to provide such customers with the financial institution’s privacy policy at the beginning of the relationship and annually thereafter. Further, such customers must be given the opportunity to “opt out” of the sharing of personal financial information with unaffiliated third parties. The sharing of information for marketing purposes is also subject to limitations. In addition to law and regulation at the federal level, a number of states - some of which we have loan or deposit customers in - have enacted broad statutes governing the use of an individual’s personal information. These statutes typically encompass a broader scope of personal information than the financial information covered by federal privacy laws and regulations, and the statutes generally place more stringent restrictions on the ability of a third party to disclose, share or otherwise use an individual’s personal information than exist under federal law and regulations. Many of these states’ privacy laws and regulations impose severe penalties for violations.</w:t>
      </w:r>
    </w:p>
    <w:p>
      <w:pPr>
        <w:spacing w:after="0" w:line="32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Bank has adopted a privacy policy and implemented procedures governing the use and disclosure of personal financial information for both customers and non-customers. We believe our policy and procedures currently comply with all applicable laws and regulations, and we continually monitor federal and state laws, as well as changes in the nature and scope of our operations, so that any necessary changes in our privacy policy and procedures can be enacted in a timely manner.</w:t>
      </w:r>
    </w:p>
    <w:p>
      <w:pPr>
        <w:spacing w:after="0" w:line="1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u w:val="single" w:color="auto"/>
          <w:color w:val="auto"/>
        </w:rPr>
        <w:t>Anti-Money Laundering/Combatting the Financing of Terrorism.</w:t>
      </w:r>
      <w:r>
        <w:rPr>
          <w:rFonts w:ascii="Times New Roman" w:cs="Times New Roman" w:eastAsia="Times New Roman" w:hAnsi="Times New Roman"/>
          <w:sz w:val="18"/>
          <w:szCs w:val="18"/>
          <w:color w:val="auto"/>
        </w:rPr>
        <w:t xml:space="preserve"> Federal anti-money laundering rules impose various requirements on financial institutions intended to prevent the use of the U.S. financial system to fund terrorist activities or other criminal activity. These provisions include a requirement that financial institutions operating in the United States have anti-money laundering compliance programs, due diligence policies and controls to ensure the detection and reporting of money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16" w:name="page17"/>
    <w:bookmarkEnd w:id="16"/>
    <w:p>
      <w:pPr>
        <w:jc w:val="both"/>
        <w:spacing w:after="0" w:line="256" w:lineRule="auto"/>
        <w:rPr>
          <w:sz w:val="20"/>
          <w:szCs w:val="20"/>
          <w:color w:val="auto"/>
        </w:rPr>
      </w:pPr>
      <w:r>
        <w:rPr>
          <w:rFonts w:ascii="Times New Roman" w:cs="Times New Roman" w:eastAsia="Times New Roman" w:hAnsi="Times New Roman"/>
          <w:sz w:val="18"/>
          <w:szCs w:val="18"/>
          <w:color w:val="auto"/>
        </w:rPr>
        <w:t>laundering. Such compliance programs supplement existing compliance requirements, also applicable to financial institutions, under the Bank Secrecy Act and the Office of Foreign Assets Control regulations. The Bank has established policies and procedures to ensure compliance with federal anti-money laundering laws and regulations.</w:t>
      </w:r>
    </w:p>
    <w:p>
      <w:pPr>
        <w:spacing w:after="0" w:line="1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u w:val="single" w:color="auto"/>
          <w:color w:val="auto"/>
        </w:rPr>
        <w:t>The Volcker Rule</w:t>
      </w:r>
      <w:r>
        <w:rPr>
          <w:rFonts w:ascii="Times New Roman" w:cs="Times New Roman" w:eastAsia="Times New Roman" w:hAnsi="Times New Roman"/>
          <w:sz w:val="18"/>
          <w:szCs w:val="18"/>
          <w:color w:val="auto"/>
        </w:rPr>
        <w:t>. Federal banking regulators, including the Federal Reserve, and the SEC each adopted a rule, commonly referred to as the “Volcker Rule,” implementing Section 619 of the Dodd-Frank Act. The Volcker rule generally prohibits a bank and its affiliates from engaging in proprietary trading and from acquiring or retaining ownership interests in, sponsoring, or having relationships with certain “covered funds,” including certain hedge funds and private equity funds. The Volcker Rule does not impact any of our current activities, but it does limit the scope of permissible activities in which we might engage in the future.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Supervision and Regulation of our Wealth Management Operations</w:t>
      </w:r>
    </w:p>
    <w:p>
      <w:pPr>
        <w:spacing w:after="0" w:line="16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Our Wealth Management operations are subject to licensing requirements and regulation under the laws of the United States and the states in which they operate. The laws and regulations are primarily for the benefit of clients. In all jurisdictions, the applicable laws and regulations are subject to amendment by regulatory authorities. Generally, such authorities are vested with relatively broad discretion to grant, renew and revoke licenses and approvals and to implement regulations. Licenses may be denied or revoked for various reasons, including the violation of such regulations, conviction of crimes and the like. Other possible sanctions which may be imposed for violation of regulations include suspension of individual employees, limitations on engaging in a particular business for a specified period of time, censures and fines.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Monetary Policy and Economic Controls</w:t>
      </w:r>
    </w:p>
    <w:p>
      <w:pPr>
        <w:spacing w:after="0" w:line="16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We and the Bank are affected by the policies of regulatory authorities, including the Federal Reserve. An important function of the Federal Reserve is to regulate the national supply of bank credit in order to stabilize prices. Among the instruments of monetary policy used by the Federal Reserve to implement these objectives are open market operations in U.S. Government securities and changes in the discount rate on bank borrowings. These instruments are used in varying degrees to influence overall growth of bank loans, investments and deposits and may also affect interest rates charged on loans or paid for deposits.</w:t>
      </w:r>
    </w:p>
    <w:p>
      <w:pPr>
        <w:spacing w:after="0" w:line="1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monetary policies of the Federal Reserve have had a significant effect on the operating results of commercial banks in the past and are expected to do so in the future. In view of changing conditions in the national economy and in the various money markets, as well as the effect of actions by monetary and fiscal authorities including the Federal Reserve, the effect on our, and the Bank’s, future business and earnings cannot be predicted with accuracy.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and Availability of Funds</w:t>
      </w:r>
    </w:p>
    <w:p>
      <w:pPr>
        <w:spacing w:after="0" w:line="1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funds essential to our, and the Bank’s, business consist primarily of funds derived from customer deposits, loan repayments, cash flows from our investment securities, securities sold under repurchase agreements, Federal Home Loan Bank advances and subordinated notes. The availability of such funds is primarily dependent upon the economic policies of the federal government, the economy in general and the general credit market for loans. Additional information about our funding sources can be found under the heading “Liquidity and Capital Resources” in Item 7, Management’s Discussion and Analysis of Financial Condition and Results of Operations, in this report.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6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Company’s employees are the key to its success and represent our greatest asset. The Company’s strategic approach to human capital includes (1) attracting, developing and retaining a diverse and talented workforce, (2) providing opportunities for learning, development and advancement within the Company, (3) offering a competitive suite of compensation and benefits, (4) investing in the financial health of our employees, and (5) obtaining employee feedback. As of December 31, 2025, we employed more than 3,000 people throughout all of our segments on a full-time equivalent basis, having added approximately 1,000 employees as a result of our merger with The First. At December 31, 2025, 13 employees of the Bank served as officers of the Company in addition to their positions with the Bank.</w:t>
      </w:r>
    </w:p>
    <w:p>
      <w:pPr>
        <w:spacing w:after="0" w:line="1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Through its Organizational Development department led by our Chief Experience Officer, the Company provides opportunities for employees to engage in personalized learning and development experiences, including new employee orientation, role-based training programs, technical and enterprise-wide systems trainings, mentoring programs, and leadership development. The intent underlying these programs is to build individual capabilities while supporting the career aspirations of our employees and meeting business objectives. These experiences are delivered through various learning channels including classroom, virtual, on-the-job, and online training. The Company also supports its employees through external continuing education relevant to the operations of the Company and encourages participation in professional organizations. In alignment with the Company’s vision,</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7" w:name="page18"/>
    <w:bookmarkEnd w:id="17"/>
    <w:p>
      <w:pPr>
        <w:jc w:val="both"/>
        <w:spacing w:after="0" w:line="268" w:lineRule="auto"/>
        <w:rPr>
          <w:sz w:val="20"/>
          <w:szCs w:val="20"/>
          <w:color w:val="auto"/>
        </w:rPr>
      </w:pPr>
      <w:r>
        <w:rPr>
          <w:rFonts w:ascii="Times New Roman" w:cs="Times New Roman" w:eastAsia="Times New Roman" w:hAnsi="Times New Roman"/>
          <w:sz w:val="18"/>
          <w:szCs w:val="18"/>
          <w:color w:val="auto"/>
        </w:rPr>
        <w:t>mission, values and behaviors and in an effort to retain high performing employees, the Company conducts employee feedback surveys regularly and seeks to engage, reward, and recognize employees through strategic programming and initiatives.</w:t>
      </w:r>
    </w:p>
    <w:p>
      <w:pPr>
        <w:spacing w:after="0" w:line="1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to professional development, the Company provides bank-paid and voluntary benefits to eligible employees. Several of the benefits include wellness benefits to encourage healthier lifestyles and promote self-care. In addition to health, dental and vision benefits, the Company provides paid parental leave for the birth, adoption or placement of a child through foster care. We also pay employees for community service work (subject to a cap on the number of paid hours) and have an employee assistance program, which is a Bank-paid benefit available to all employees and immediate family members for mental health, behavioral, stress management, and other personal care needs.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file and furnish annual, quarterly and current reports, proxy statements and other information with the SEC. Our SEC filings are available to the public at the SEC’s website at www.sec.gov. Our Internet address is www.renasant.com, and the Bank’s Internet address is www.renasantbank.com. We make available on the Company’s website, at the “SEC Filings” link, free of charge, our Annual Report on Form 10-K, quarterly reports on Form 10-Q, current reports on Form 8-K and amendments to those reports filed or furnished pursuant to Section 13(a) or 15(d) of the Securities Exchange Act of 1934, as amended, as soon as reasonably practicable after we electronically file such material with, or furnish it to, the SEC.</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other information contained in or incorporated by reference into this Form 10-K and the exhibits hereto, the following risk factors should be considered carefully in evaluating our business. The risks disclosed below, either alone or in combination, could materially adversely affect the business, financial condition or results of operations of the Company.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Industry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subject to lending risk.</w:t>
      </w:r>
    </w:p>
    <w:p>
      <w:pPr>
        <w:spacing w:after="0" w:line="1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There are inherent risks associated with our lending activities. These risks include, among other things, the impact of changes in interest rates and changes in the economic conditions in the markets where we operate as well as those across the United States. Increases in interest rates on loans and/or weakening economic conditions could adversely impact not only the ability of borrowers to repay outstanding loans but also the value of any collateral securing these loans.</w:t>
      </w:r>
    </w:p>
    <w:p>
      <w:pPr>
        <w:spacing w:after="0" w:line="13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As of December 31, 2025, approximately 75.10% of our loan portfolio consisted of C&amp;I, construction and commercial real estate loans. These types of loans are generally viewed as having more risk to our financial condition than other types of loans due primarily to the large amounts loaned to individual borrowers. Because the loan portfolio contains a significant number of C&amp;I, construction and commercial real estate loans with relatively large balances, the deterioration of one or a few of these loans could cause a significant increase in nonperforming loans. An increase in nonperforming loans could result in a net loss of earnings from these loans, an increase in the provision for credit losses and an increase in loan charge-offs, all of which could have a material adverse effect on our financial condition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allowance for credit losses may be insufficient, and we may be required to further increase our provision for credit losses.</w:t>
      </w:r>
    </w:p>
    <w:p>
      <w:pPr>
        <w:spacing w:after="0" w:line="16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Although we try to avoid concentrations within our loan portfolio to minimize the effect of economic conditions within a particular industry, management also maintains an allowance for credit losses, which is a reserve established through a provision for credit losses on loans charged to expense, to absorb credit losses inherent in the entire loan portfolio. The credit loss estimation process involves procedures to appropriately consider the unique characteristics of the Company’s loan portfolio segments, and the results of those evaluations are utilized in the Company’s estimation of expected credit losses. Credit quality monitoring procedures and indicators can include an assessment of problem loans, the types of loans, historical loss experience, new lending products, emerging credit trends, changes in the size and character of loan categories and other factors, including the Company’s risk rating system, regulatory guidance and economic conditions, such as the unemployment rate and GDP growth, as well as trends in the market values of underlying collateral securing loans. This assessment is based on input from management, loan review staff, credit administration and other sources. This evaluation is complex and inherently subjective, as it requires estimates by management that are inherently uncertain and therefore susceptible to significant revision as more information becomes available. In addition, our credit quality monitoring procedures may fail to detect credit risk issues within the loan portfolio if important factors contributing to credit risk are not identified by management or given sufficient weight. There may be significant changes in the allowance and provision for credit losses in future periods as the estimates used by management, and assumptions underlying such estimates, are supplemented and adjusted in light of then-prevailing factors and forecasts.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8" w:name="page19"/>
    <w:bookmarkEnd w:id="18"/>
    <w:p>
      <w:pPr>
        <w:jc w:val="both"/>
        <w:spacing w:after="0" w:line="256" w:lineRule="auto"/>
        <w:rPr>
          <w:sz w:val="20"/>
          <w:szCs w:val="20"/>
          <w:color w:val="auto"/>
        </w:rPr>
      </w:pPr>
      <w:r>
        <w:rPr>
          <w:rFonts w:ascii="Times New Roman" w:cs="Times New Roman" w:eastAsia="Times New Roman" w:hAnsi="Times New Roman"/>
          <w:sz w:val="18"/>
          <w:szCs w:val="18"/>
          <w:color w:val="auto"/>
        </w:rPr>
        <w:t>Any deterioration of current and future economic conditions could cause us to experience higher than normal delinquencies and credit losses. As a result, we may be required to make further increases in our provision for credit losses and to charge off additional loans in the future, which could materially adversely affect our financial condition and results of operations.</w:t>
      </w:r>
    </w:p>
    <w:p>
      <w:pPr>
        <w:spacing w:after="0" w:line="12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addition, our federal and state banking regulators periodically review the allowance for credit losses and may require an increase in the provision for credit losses, downgrades of loan ratings or even the recognition of further loan charge-offs, based on judgments different than those of management. In addition, if charge-offs in future periods exceed the provision for credit losses for such period, we may incur additional provision expense to maintain the allowance for credit losses at its current levels or to increase the allowance for credit losses above its current levels, if management determines that credit trends warrant greater reserves. Any increase in our provision for credit losses will result in a decrease in net income and, possibly, capital and may have a material adverse effect on our financial condition and results of operations. A discussion of the policies and procedures related to management’s process for determining the appropriate level of the allowance for credit losses is set forth under the headings “Critical Accounting Policies and Estimates” and “Risk Management – Credit Risk and Allowance for Credit Losses on Loans and Unfunded Commitments” in Item 7, Management’s Discussion and Analysis of Financial Condition and Results of Operations, in this report.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subject to interest rate risk.</w:t>
      </w:r>
    </w:p>
    <w:p>
      <w:pPr>
        <w:spacing w:after="0" w:line="16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Our earnings and cash flows are largely dependent upon our net interest income. Net interest income is the difference between interest earned on assets, such as loans and securities, and the cost of interest-bearing liabilities, such as deposits and borrowed funds. Interest rates are highly sensitive to many factors that are beyond our control, including general economic conditions and policies of various governmental and regulatory agencies and, in particular, the Federal Reserve. Changes in monetary policy by the Federal Reserve, including changes in interest rates, influence not only the interest we receive on loans and securities and the interest we pay on deposits and borrowings, but such changes may also affect (1) our ability to originate loans and generate deposits or access other sources of liquidity, which could reduce the amount of fee income generated, and (2) the fair value of our financial assets and liabilities. Any substantial unexpected or prolonged change in interest rates could have a material adverse effect on our businesses, financial conditions and results of operations.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financial results are constantly exposed to market risk.</w:t>
      </w:r>
    </w:p>
    <w:p>
      <w:pPr>
        <w:spacing w:after="0" w:line="1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Market risk refers to the probability of variations in net interest income or the fair value of our assets and liabilities due to changes in interest rates, among other things. The primary source of market risk to us is the impact of changes in interest rates on net interest income. We are subject to market risk because of the following factors:</w:t>
      </w:r>
    </w:p>
    <w:p>
      <w:pPr>
        <w:spacing w:after="0" w:line="167" w:lineRule="exact"/>
        <w:rPr>
          <w:sz w:val="20"/>
          <w:szCs w:val="20"/>
          <w:color w:val="auto"/>
        </w:rPr>
      </w:pPr>
    </w:p>
    <w:p>
      <w:pPr>
        <w:ind w:left="480" w:right="40" w:hanging="447"/>
        <w:spacing w:after="0" w:line="231" w:lineRule="auto"/>
        <w:rPr>
          <w:sz w:val="20"/>
          <w:szCs w:val="20"/>
          <w:color w:val="auto"/>
        </w:rPr>
      </w:pPr>
      <w:r>
        <w:rPr>
          <w:rFonts w:ascii="Times New Roman" w:cs="Times New Roman" w:eastAsia="Times New Roman" w:hAnsi="Times New Roman"/>
          <w:sz w:val="18"/>
          <w:szCs w:val="18"/>
          <w:color w:val="auto"/>
        </w:rPr>
        <w:t>— Assets and liabilities mature or reprice at different times. For example, if assets reprice more slowly than liabilities and interest rates are generally rising, earnings may decline.</w:t>
      </w:r>
    </w:p>
    <w:p>
      <w:pPr>
        <w:spacing w:after="0" w:line="9" w:lineRule="exact"/>
        <w:rPr>
          <w:sz w:val="20"/>
          <w:szCs w:val="20"/>
          <w:color w:val="auto"/>
        </w:rPr>
      </w:pPr>
    </w:p>
    <w:p>
      <w:pPr>
        <w:ind w:left="480" w:right="40" w:hanging="447"/>
        <w:spacing w:after="0" w:line="218" w:lineRule="auto"/>
        <w:rPr>
          <w:sz w:val="20"/>
          <w:szCs w:val="20"/>
          <w:color w:val="auto"/>
        </w:rPr>
      </w:pPr>
      <w:r>
        <w:rPr>
          <w:rFonts w:ascii="Times New Roman" w:cs="Times New Roman" w:eastAsia="Times New Roman" w:hAnsi="Times New Roman"/>
          <w:sz w:val="18"/>
          <w:szCs w:val="18"/>
          <w:color w:val="auto"/>
        </w:rPr>
        <w:t>— Assets and liabilities reprice at the same time but by different amounts. For example, when interest rates are generally rising, we may increase rates charged on loans by an amount that is less than the general increase in market interest rates because of intense pricing competition, while similarly intense pricing competition for deposits dictates that we raise our deposit rates in line with the general increase in market rates. Also, risk occurs when assets and liabilities have similar repricing frequencies but are tied to different market interest rate indices that may not move in tandem.</w:t>
      </w:r>
    </w:p>
    <w:p>
      <w:pPr>
        <w:spacing w:after="0" w:line="2" w:lineRule="exact"/>
        <w:rPr>
          <w:sz w:val="20"/>
          <w:szCs w:val="20"/>
          <w:color w:val="auto"/>
        </w:rPr>
      </w:pPr>
    </w:p>
    <w:p>
      <w:pPr>
        <w:ind w:left="480" w:right="40" w:hanging="447"/>
        <w:spacing w:after="0" w:line="228" w:lineRule="auto"/>
        <w:rPr>
          <w:sz w:val="20"/>
          <w:szCs w:val="20"/>
          <w:color w:val="auto"/>
        </w:rPr>
      </w:pPr>
      <w:r>
        <w:rPr>
          <w:rFonts w:ascii="Times New Roman" w:cs="Times New Roman" w:eastAsia="Times New Roman" w:hAnsi="Times New Roman"/>
          <w:sz w:val="18"/>
          <w:szCs w:val="18"/>
          <w:color w:val="auto"/>
        </w:rPr>
        <w:t>— Short-term and long-term market interest rates change by different amounts, and the shape of the yield curve may affect new loan yields and funding costs differently.</w:t>
      </w:r>
    </w:p>
    <w:p>
      <w:pPr>
        <w:spacing w:after="0" w:line="10" w:lineRule="exact"/>
        <w:rPr>
          <w:sz w:val="20"/>
          <w:szCs w:val="20"/>
          <w:color w:val="auto"/>
        </w:rPr>
      </w:pPr>
    </w:p>
    <w:p>
      <w:pPr>
        <w:ind w:left="480" w:right="40" w:hanging="447"/>
        <w:spacing w:after="0" w:line="218" w:lineRule="auto"/>
        <w:rPr>
          <w:sz w:val="20"/>
          <w:szCs w:val="20"/>
          <w:color w:val="auto"/>
        </w:rPr>
      </w:pPr>
      <w:r>
        <w:rPr>
          <w:rFonts w:ascii="Times New Roman" w:cs="Times New Roman" w:eastAsia="Times New Roman" w:hAnsi="Times New Roman"/>
          <w:sz w:val="18"/>
          <w:szCs w:val="18"/>
          <w:color w:val="auto"/>
        </w:rPr>
        <w:t>— The remaining maturity of various assets and liabilities shorten or lengthen as interest rates change. For example, if long-term mortgage interest rates decline sharply, mortgage-backed securities held in our securities portfolio may prepay significantly earlier than anticipated, which could reduce portfolio income. If prepayment rates on our loans increase, we would be required to amortize net premiums into income over a shorter period of time, thereby reducing the corresponding asset yield and net interest income.</w:t>
      </w:r>
    </w:p>
    <w:p>
      <w:pPr>
        <w:spacing w:after="0" w:line="2" w:lineRule="exact"/>
        <w:rPr>
          <w:sz w:val="20"/>
          <w:szCs w:val="20"/>
          <w:color w:val="auto"/>
        </w:rPr>
      </w:pPr>
    </w:p>
    <w:p>
      <w:pPr>
        <w:ind w:left="480" w:right="40" w:hanging="447"/>
        <w:spacing w:after="0" w:line="228" w:lineRule="auto"/>
        <w:rPr>
          <w:sz w:val="20"/>
          <w:szCs w:val="20"/>
          <w:color w:val="auto"/>
        </w:rPr>
      </w:pPr>
      <w:r>
        <w:rPr>
          <w:rFonts w:ascii="Times New Roman" w:cs="Times New Roman" w:eastAsia="Times New Roman" w:hAnsi="Times New Roman"/>
          <w:sz w:val="18"/>
          <w:szCs w:val="18"/>
          <w:color w:val="auto"/>
        </w:rPr>
        <w:t>— Interest rates have an indirect impact on loan demand, credit losses, loan origination volume, the value of financial assets and financial liabilities, gains and losses on sales of securities and loans, the value of mortgage servicing rights and other sources of earnings.</w:t>
      </w:r>
    </w:p>
    <w:p>
      <w:pPr>
        <w:spacing w:after="0" w:line="2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management believes it has implemented effective asset and liability management strategies to reduce market risk on the results of our operations, these strategies are based on assumptions that may be incorrect or not comprehensive. Any substantial, unexpected, prolonged change in market interest rates could have a material adverse effect on our financial condition and results of operations.</w:t>
      </w:r>
    </w:p>
    <w:p>
      <w:pPr>
        <w:spacing w:after="0" w:line="1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Volatility in interest rates may also result in disintermediation, which is the flow of funds away from financial institutions into direct investments, such as U.S. Government and Agency securities and other investment vehicles, including mutual funds, which generally pay higher rates of return than financial institutions because of the absence of federal deposit insurance premiums and reserve requirements. The interest rate increases in 2022 and 2023 were followed by significant outflows of</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color w:val="auto"/>
        </w:rPr>
        <w:t>funds from financial institutions (including the Company) into mutual funds and other investment vehicles, increasing the competition for, and cost of, deposits.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Disintermediation could also result in material adverse effects on our financial condition and results of operations.</w:t>
      </w:r>
    </w:p>
    <w:p>
      <w:pPr>
        <w:spacing w:after="0" w:line="14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 discussion of our policies and procedures used to identify, assess and manage certain interest rate risk is set forth under the heading “Risk Management – Interest Rate Risk” in Item 7, Management’s Discussion and Analysis of Financial Condition and Results of Operations, in this report.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can have an impact on our business and our customers.</w:t>
      </w:r>
    </w:p>
    <w:p>
      <w:pPr>
        <w:spacing w:after="0" w:line="16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Inflation risk is the risk that the value of assets or income from investments will be less in the future as inflation decreases the value of money. As noted above, over the course of 2022 and 2023 the Federal Reserve raised interest rates in an effort to fight inflationary conditions. Although the rate of inflation has declined in the ensuing years, it remains elevated above the Federal Reserve’s goal of inflation averaging 2% over time. While this elevated level of inflation persists, the value of our investment securities, particularly those with longer maturities, decreases, although this effect can be less pronounced for floating rate instruments. Additionally, inflation increases the cost of goods and services we use in our daily operations which increases our noninterest expense. Furthermore, our customers are impacted by inflation and the rising costs of goods and services used in their households and businesses, which could have a negative impact on the deposits they maintain with us or their ability to repay their loans from us.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needs could adversely affect our results of operations and financial condition.</w:t>
      </w:r>
    </w:p>
    <w:p>
      <w:pPr>
        <w:spacing w:after="0" w:line="16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Maintaining adequate liquidity is crucial to the operation of our business. We need sufficient liquidity to meet customer loan requests, deposit maturities and withdrawals and other cash commitments arising in both the ordinary course of business and in other unpredictable circumstances. We rely on dividends from the Bank as our primary source of funds. The primary source of the Bank’s funds are customer deposits, loan repayments, proceeds from our investment securities and borrowings. While scheduled loan repayments are a relatively stable source of funds, they are subject to the ability of borrowers to repay the loans. The ability of borrowers to repay loans can be adversely affected by a number of factors, including changes in economic conditions, adverse trends or events affecting business industry groups, reductions in real estate values or markets, business closings or lay-offs, pandemics, inclement weather, natural disasters and international instability.</w:t>
      </w:r>
    </w:p>
    <w:p>
      <w:pPr>
        <w:spacing w:after="0" w:line="13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Additionally, deposit levels may be affected by a number of factors, including interest rates paid by competitors, general interest rate levels, returns available to customers on alternative investments and general economic conditions. For example, following the March 2023 bank failures, many depositors became concerned about the soundness of other financial institutions and moved deposits to larger financial institutions or to other investment vehicles. Accordingly, we may be required from time to time to rely on secondary sources of liquidity to meet withdrawal demands or otherwise fund operations or to support growth. These secondary sources, which generally have a higher cost than deposits, include Federal Home Loan Bank advances and federal funds lines of credit from correspondent banks.</w:t>
      </w:r>
    </w:p>
    <w:p>
      <w:pPr>
        <w:spacing w:after="0" w:line="13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If we are unable to maintain adequate liquidity, we may attempt to raise additional capital in the equity or debt markets, the success of which will depend on market conditions outside our control and on our financial performance.</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If we are unable to meet our liquidity needs through any of the aforementioned sources, whether at all or at the time or the cost that we anticipate, we may be required to slow or discontinue loan growth, capital expenditures or other investments or liquidate assets.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depend on the accuracy and completeness of information furnished by others about customers and counterparties.</w:t>
      </w:r>
    </w:p>
    <w:p>
      <w:pPr>
        <w:spacing w:after="0" w:line="1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deciding whether to extend credit or enter into other transactions, we often rely on information furnished by or on behalf of customers and counterparties, including financial statements, credit reports, other financial information and appraisals of the value of collateral. We may also rely on representations of those customers, counterparties or other third parties, such as independent auditors, as to the accuracy and completeness of that information. Reliance on inaccurate or misleading financial statements, credit reports, other financial information or appraisals could have a material adverse effect on our business and, in turn, our financial condition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Competition in our industry is intense and may adversely affect our profitability.</w:t>
      </w:r>
    </w:p>
    <w:p>
      <w:pPr>
        <w:spacing w:after="0" w:line="16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We face substantial competition in all areas of our operations from a variety of different competitors, many of which are larger and have substantially greater resources than we have, including higher total assets and capitalization, greater access to capital markets and a broader offering of financial services. Such competitors primarily include national, regional and community banks within the various markets in which we operate. We also face competition from other types of financial institutions (including savings and loans and credit unions), finance companies, brokerage firms, insurance companies, factoring</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20" w:name="page21"/>
    <w:bookmarkEnd w:id="20"/>
    <w:p>
      <w:pPr>
        <w:spacing w:after="0" w:line="268" w:lineRule="auto"/>
        <w:rPr>
          <w:sz w:val="20"/>
          <w:szCs w:val="20"/>
          <w:color w:val="auto"/>
        </w:rPr>
      </w:pPr>
      <w:r>
        <w:rPr>
          <w:rFonts w:ascii="Times New Roman" w:cs="Times New Roman" w:eastAsia="Times New Roman" w:hAnsi="Times New Roman"/>
          <w:sz w:val="18"/>
          <w:szCs w:val="18"/>
          <w:color w:val="auto"/>
        </w:rPr>
        <w:t>companies, fintech companies and other financial intermediaries. Many of these competitors have fewer regulatory constraints and may have lower cost structures than the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compete successfully depends on a number of factors, including, among other things:</w:t>
      </w:r>
    </w:p>
    <w:p>
      <w:pPr>
        <w:spacing w:after="0" w:line="161" w:lineRule="exact"/>
        <w:rPr>
          <w:sz w:val="20"/>
          <w:szCs w:val="20"/>
          <w:color w:val="auto"/>
        </w:rPr>
      </w:pPr>
    </w:p>
    <w:p>
      <w:pPr>
        <w:ind w:left="640" w:hanging="319"/>
        <w:spacing w:after="0" w:line="268" w:lineRule="auto"/>
        <w:tabs>
          <w:tab w:leader="none" w:pos="63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develop, maintain and build upon long-term customer relationships based on top quality service, high ethical standards and safe and sound assets;</w:t>
      </w:r>
    </w:p>
    <w:p>
      <w:pPr>
        <w:spacing w:after="0" w:line="11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expand our market position;</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relevance and pricing of products and services offered to meet customer needs and demands;</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in the banking industry;</w:t>
      </w:r>
    </w:p>
    <w:p>
      <w:pPr>
        <w:spacing w:after="0" w:line="161"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legislative, regulatory and technological changes and our ability to timely leverage the benefits or mitigate the risks resulting from such changes;</w:t>
      </w:r>
    </w:p>
    <w:p>
      <w:pPr>
        <w:spacing w:after="0" w:line="11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we introduce new products and services relative to our competitors;</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satisfaction with our level of service; and</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and general economic trends.</w:t>
      </w:r>
    </w:p>
    <w:p>
      <w:pPr>
        <w:spacing w:after="0" w:line="21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Failure to perform in any of these areas could significantly weaken our competitive position, which could adversely affect our growth and profitability, which, in turn, could have a material adverse effect on our financial condition and results of operations.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be adversely affected by the soundness of other financial institutions and other third parties.</w:t>
      </w:r>
    </w:p>
    <w:p>
      <w:pPr>
        <w:spacing w:after="0" w:line="1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bank failures in March 2023 resulted in general uncertainty regarding the adequacy of liquidity of the banking sector generally and caused significant volatility in the stock prices of publicly-traded bank holding companies. These developments appear to have prompted some customers to maintain their deposits with larger financial institutions. Competition for deposits remains intense, and the cost of funding, both for deposits and other sources of liquidity, has increased. If the concerns surrounding the banking sector persist, our businesses, financial condition and results of operations could be materially adversely impacted.</w:t>
      </w:r>
    </w:p>
    <w:p>
      <w:pPr>
        <w:spacing w:after="0" w:line="13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In addition to the general negative impact on us that could result from the failure of other financial institutions, the failure or financial distress of a financial institution with which we have a relationship could have a material adverse impact on us. Entities within the financial services industry are interrelated as a result of trading, clearing, counterparty and other relationships. We have exposure to many different industries and counterparties and from time to time execute transactions with counterparties in the financial services industry, including commercial banks, brokers and dealers, investment banks and other institutional clients. Many of these transactions expose us to credit risk in the event of a default by a counterparty or client. In addition, our credit risk may be exacerbated when the collateral we hold cannot be realized upon or is liquidated at prices not sufficient to recover the full amount of the credit due to us. Any such losses could have a material adverse effect on our financial condition and results of operations.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subject to extensive government regulation, and such regulation could limit or restrict our activities and adversely affect our earnings.</w:t>
      </w:r>
    </w:p>
    <w:p>
      <w:pPr>
        <w:spacing w:after="0" w:line="16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As a publicly-traded bank holding company and a state member bank with assets in excess of $10 billion, we and the Bank are subject to extensive federal and state regulation and supervision, and we are committed to maintaining high standards of legal and regulatory compliance. Banking regulations are primarily intended to protect depositors’ funds, federal deposit insurance funds and the banking system as a whole, while consumer protection statutes are primarily focused on the fair treatment and protection of the users of our lending and deposit services. The federal securities laws and regulations that we are subject to are designed to protect the investing public and the integrity and efficiency of the securities markets. These regulations affect our corporate governance, dividend policy, capital structure, lending and deposit practices, investment practices, public disclosures and, ultimately, our financial performance and growth.</w:t>
      </w:r>
    </w:p>
    <w:p>
      <w:pPr>
        <w:spacing w:after="0" w:line="1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New regulations, as well as significant changes to existing regulations, relating to every facet of our operations have been proposed or may be proposed in the future. New laws and regulations, and changes to (or repeal of) existing laws, regulations or policies, as well as changes in interpretation, implementation or enforcement of the foregoing, could affect us and/or the Bank in substantial and unpredictable ways. Among other impacts, new or revised laws and regulations could limit the types of</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21" w:name="page22"/>
    <w:bookmarkEnd w:id="21"/>
    <w:p>
      <w:pPr>
        <w:jc w:val="both"/>
        <w:spacing w:after="0" w:line="250" w:lineRule="auto"/>
        <w:rPr>
          <w:sz w:val="20"/>
          <w:szCs w:val="20"/>
          <w:color w:val="auto"/>
        </w:rPr>
      </w:pPr>
      <w:r>
        <w:rPr>
          <w:rFonts w:ascii="Times New Roman" w:cs="Times New Roman" w:eastAsia="Times New Roman" w:hAnsi="Times New Roman"/>
          <w:sz w:val="18"/>
          <w:szCs w:val="18"/>
          <w:color w:val="auto"/>
        </w:rPr>
        <w:t>financial services and products we may offer or fees we may charge, require extensive new disclosures in our public filings, increase the ability of non-banks to offer competing financial services and products and/or otherwise result in continuing uncertainty regarding legal and regulatory compliance matters. Any of the foregoing may, in turn, necessitate that we hire additional employees, acquire or develop new software, implement new processes and procedures and otherwise incur substantial additional costs as part of our efforts to comply with our legal and regulatory obligations. In addition, these efforts may divert management time and attention from initiatives designed to grow the Company and the Bank and enhance our earnings and profitability.</w:t>
      </w:r>
    </w:p>
    <w:p>
      <w:pPr>
        <w:spacing w:after="0" w:line="13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Under regulatory capital adequacy guidelines and other regulatory requirements, we and the Bank must meet guidelines that include quantitative measures of assets, liabilities and certain off-balance sheet items, subject to qualitative judgments by regulators about components, risk weightings and other factors. If we fail to meet these minimum capital guidelines and other regulatory requirements, our financial condition would be materially and adversely affected. Our failure to maintain the status of “well capitalized” under our regulatory framework could affect the confidence of our customers in us, thus compromising our competitive position. In addition, failure to maintain the status of “well capitalized” under our regulatory framework, “well managed” under regulatory examination procedures or “satisfactory” under the CRA could compromise our status as a bank holding company and related eligibility for a streamlined review process for merger or acquisition proposals and would result in higher deposit insurance premiums assessed by the FDIC.</w:t>
      </w:r>
    </w:p>
    <w:p>
      <w:pPr>
        <w:spacing w:after="0" w:line="13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are also subject to various privacy, data protection and information security laws. Under the GLBA, we are subject to limitations on our ability to share our customers’ nonpublic personal information with unaffiliated parties, and we are required to provide certain disclosures to our customers about our data collection and security practices. Customers have the right to opt out of our disclosure of their personal financial information to unaffiliated parties. We are also subject to state laws regulating the privacy of individual’s private information, many of which are more restrictive, and have more severe sanctions for noncompliance, than the GLBA. Finally, the GLBA requires us to develop, implement and maintain a written comprehensive information security program containing appropriate safeguards for our customers’ nonpublic personal information. Our failure to comply with privacy, data protection and information security laws and regulations could result in regulatory or governmental investigations and/or fines, sanctions and other expenses which could have a material adverse effect on our financial condition and results of operations.</w:t>
      </w:r>
    </w:p>
    <w:p>
      <w:pPr>
        <w:spacing w:after="0" w:line="13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to the costs we incur in complying with our various legal and regulatory obligations, we may be found to have failed to fully comply with applicable laws, regulations or policies. Any such failure could result in sanctions by regulatory agencies and/or civil money penalties, which could have a material adverse effect on our business, financial condition and results of operations. Although we have not yet been subject to any sanctions or penalties that have had a material impact on our business, financial condition or results of operations, such material violations could occur, even though we have policies and procedures designed to prevent such violations.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Higher FDIC deposit insurance premiums and assessments could adversely affect our financial condition.</w:t>
      </w:r>
    </w:p>
    <w:p>
      <w:pPr>
        <w:spacing w:after="0" w:line="16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FDIC is required under the Dodd-Frank Act to maintain the Deposit Insurance Fund at a minimum reserve ratio of 1.35%. The FDIC’s announced long-term goal is to maintain the reserve ratio at 2.00%. In October 2022, the FDIC raised the assessment rate by two basis points, effective in the first quarter of 2023, which increase is intended to remain in effect until the 2.00% goal is reached. The FDIC reaffirmed this goal in November 2023. The FDIC may also charge special assessments, such as the special assessment the FDIC charged certain financial institutions, including the Bank, in December 2023 based on their size and amount of uninsured deposits. Increases in deposit insurance assessment rates as well as any special assessments that the FDIC may charge us in the future may adversely affect our financial condition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Company’s financial condition and results of operations contain estimates and assumptions made by management that could be inaccurate.</w:t>
      </w:r>
    </w:p>
    <w:p>
      <w:pPr>
        <w:spacing w:after="0" w:line="16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Accounting estimates and processes are fundamental to how we record and report our financial condition and results of operations. Accounting principles generally accepted in the United States (“GAAP”) require our management to make estimates about future events that are inherently uncertain. We use models and other forecasting processes to make these estimates. In doing so, management must choose between many alternatives, all of which may be reasonable under prevailing circumstances. As a result, these models and other forecasting processes may reflect assumptions that ultimately prove to be inaccurate, particularly in times of market stress or other unforeseen circumstances. Even if these assumptions are adequate, the models may include flaws in their design or their implementation, including flaws caused by failures in controls, data management, human error or from the reliance on technology. Because of the uncertainty and subjectivity surrounding management’s judgments and the estimates pertaining to these matters, the Company cannot guarantee that it will not be required to adjust accounting policies or restate prior period financial statements. Any such failure in our analytical or forecasting models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We are subject to environmental liability risk associated with lending activities.</w:t>
      </w:r>
    </w:p>
    <w:p>
      <w:pPr>
        <w:spacing w:after="0" w:line="16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 significant portion of our loan portfolio is secured by real property. During the ordinary course of business, we may foreclose on and take title to properties securing certain loans. In doing so, there is a risk that hazardous or toxic substances could be found on these properties. If hazardous or toxic substances are found, we may be liable for remediation costs, as well as for personal injury and property damage. Environmental laws may require us to incur substantial expenses and may materially reduce the affected property’s value or limit our ability to use or sell the affected property. The remediation costs and any other financial liabilities associated with an environmental hazard could have a material adverse effect on our financial condition and results of operations. In addition, future laws or more stringent interpretations or enforcement policies with respect to existing laws may increase our exposure to environmental liability. Although we have policies and procedures to perform an environmental review before a loan is originated and before initiating any foreclosure action on real property, these reviews may not be sufficient to detect all potential environmental hazards.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business may be adversely affected by current economic conditions in general and specifically in the markets in which we operate.</w:t>
      </w:r>
    </w:p>
    <w:p>
      <w:pPr>
        <w:spacing w:after="0" w:line="1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General business and economic conditions in the United States and abroad can materially affect our business and operations and the businesses and operations of our customers. A weak U.S. economy is likely to cause uncertainty about the federal fiscal policymaking process, the medium and long-term fiscal outlook of the federal government and future tax rates. In addition, economic and other conditions in foreign countries could affect the stability of global financial markets and adversely impact global supply chains, which could hinder U.S. economic growth.</w:t>
      </w:r>
    </w:p>
    <w:p>
      <w:pPr>
        <w:spacing w:after="0" w:line="13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Weak economic conditions can be characterized by, among other things, fluctuations in debt and equity capital markets, a lack of liquidity and/or depressed prices in the secondary market for mortgage loans, increased delinquencies on mortgage, consumer and C&amp;I loans, residential and commercial real estate price declines and lower home sales and commercial activity. All of these factors are detrimental to our business, and the interplay between these factors can be complex and unpredictable. Our business is also significantly affected by monetary and related policies of the U.S. federal government and its agencies. Changes in any of these policies are influenced by macroeconomic conditions and other factors that are beyond our control. Adverse economic conditions and government policy responses to such conditions could have a material adverse effect on the businesses and operations of our customers and in turn on our business, financial condition, results of operations and growth prospects.</w:t>
      </w:r>
    </w:p>
    <w:p>
      <w:pPr>
        <w:spacing w:after="0" w:line="1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More particularly, much of our business development and marketing strategy is directed toward fulfilling the banking and financial services needs of small to medium size businesses. Such businesses generally have fewer financial resources in terms of capital or borrowing capacity than larger entities. If general economic conditions negatively impact the markets in which we operate and these businesses are adversely affected, our financial condition and results of operations may be negatively affected.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have a high concentration of loans secured by real estate.</w:t>
      </w:r>
    </w:p>
    <w:p>
      <w:pPr>
        <w:spacing w:after="0" w:line="16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At December 31, 2025, approximately 84.64% of our loan portfolio had real estate as a primary or secondary component of the collateral securing the loan. The real estate provides an alternate source of repayment in the event of a default by the borrower. Any adverse change in real estate values in our markets could significantly impair the value of the particular collateral securing our loans and our ability to sell the collateral upon foreclosure for an amount necessary to satisfy the borrower’s obligations to us. Furthermore, in a declining real estate market, we often will need to further increase our allowance for credit losses to address the deterioration in the value of the real estate securing our loans. Any of the foregoing could have a material adverse effect on our financial condition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have significant credit exposure in commercial real estate.</w:t>
      </w:r>
    </w:p>
    <w:p>
      <w:pPr>
        <w:spacing w:after="0" w:line="16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addition to the general risks associated with our lending activities described above, CRE loans are subject to additional risks. These loans depend on cash flows from the property to service the debt. Cash flows, either in the form of rental income or the proceeds from sales of commercial real estate, may be affected significantly by general economic conditions. A general downturn in the local economy where the property is located, or a decline in occupancy rates in particular, could increase the likelihood of default. An increase in defaults in our CRE loan portfolio could have a material adverse effect on our financial condition and results of operations. As discussed under the heading “Supervision and Regulation” in Item 1, Business, above, the federal banking agencies promulgated guidance regarding when an institution will be deemed to potentially have significant CRE concentration risk exposure, as indicated by the results of the 100/300 Test. Although the 100/300 Test is not a limit on our lending activity, if any future results of a 100/300 Test evaluation show us to have a potential CRE concentration risk, we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23" w:name="page24"/>
    <w:bookmarkEnd w:id="23"/>
    <w:p>
      <w:pPr>
        <w:jc w:val="both"/>
        <w:spacing w:after="0" w:line="268" w:lineRule="auto"/>
        <w:rPr>
          <w:sz w:val="20"/>
          <w:szCs w:val="20"/>
          <w:color w:val="auto"/>
        </w:rPr>
      </w:pPr>
      <w:r>
        <w:rPr>
          <w:rFonts w:ascii="Times New Roman" w:cs="Times New Roman" w:eastAsia="Times New Roman" w:hAnsi="Times New Roman"/>
          <w:sz w:val="18"/>
          <w:szCs w:val="18"/>
          <w:color w:val="auto"/>
        </w:rPr>
        <w:t>may elect, or be required by our regulators, to adopt additional risk management practices or other limits on our activities, which could have a material adverse effect on our financial condition and results of operations.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rely extensively on a number of vendors.</w:t>
      </w:r>
    </w:p>
    <w:p>
      <w:pPr>
        <w:spacing w:after="0" w:line="16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We rely on numerous vendors and other third party service providers (which we refer to collectively as “vendors”) to assist us in providing our lending, deposit and other financial services as well as the back-office functions that support our day-to-day operations. We are therefore subject to the risks associated with a vendor’s failure to provide the agreed-upon products or services, or its delivery of products or services at a level or in a manner that does not meet expectations. Deficient performance may result from the vendor’s failure to meet its service standards under the contract (due to, among other reasons, insufficient support for its existing products and services or a change in its strategic focus) or simply because the vendor’s products or services do not include the functionality, convenience or adaptability necessary to compete effectively or efficiently with other providers of the financial services we offer. Although we rigorously evaluate vendors before entering into contracts, we do not control a vendor’s performance of its contractual obligations or its actions with respect thereto. A vendor’s failure to meet its contractual obligations or otherwise perform as expected could be disruptive to our operations, which could have a material adverse impact on our business, financial condition and results of operations. Further, replacing service providers often entails significant delay and expense.</w:t>
      </w:r>
    </w:p>
    <w:p>
      <w:pPr>
        <w:spacing w:after="0" w:line="15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Additionally, some external vendors require access to the Company’s information systems to provide their services. We have identified these vendors as a source of information security risk, and, accordingly, our information security team monitors such vendors in accordance with Company policies. While the Company has implemented an active program to oversee the information security risk posed by vendors, there can be no assurance that the Company will not experience material security breaches associated with vendors (or service providers to our vendors). The Company’s policies related to the monitoring of vendors and other third parties are discussed in detail below in Item IC, Cybersecurity, under the heading “Risk Management and Strategy - Diligence of Vendors and Other Third Parties.”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Fraud is a major, and increasing, operational risk for us and all banks.</w:t>
      </w:r>
    </w:p>
    <w:p>
      <w:pPr>
        <w:spacing w:after="0" w:line="16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In recent years, fraud risk has emerged as a significant risk for all financial institutions, including us. Deposit fraud (such as check forging, check kiting and wire fraud) and loan fraud continue to be major sources of fraud attempts and actual loss. Fraud directed against our employees, vendors and customers – generally using deception to initiate unauthorized funds transfers – has emerged as another major source of fraud loss. The methods used by illicit actors to perpetrate fraud, and our efforts to combat it, constantly evolve as technology advances. In addition to cybersecurity risk (discussed below), emerging technologies, including rapid developments in the capabilities and applications of AI, have made it easier for illicit actors to obtain and use customer personal information, mimic communications to or from customers, mimic signatures, and create false, or “synthetic,” instructions, documents and media that appear genuine.</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Our efforts to combat fraud are both preventive (anticipating fraudulent activity, educating employees and customers) and responsive (detecting, halting and remediating fraud attempts). We have established policies and procedures to identify, monitor and mitigate fraud-related risks, and we continue to invest in systems, resources, and controls to better detect and prevent fraud. However, there are inherent limitations to our ability to anticipate, mitigate and remediate all fraud-related risks, particularly in light of the pace of technological advances. Some level of fraud loss is unavoidable, and the risk of a major loss cannot be eliminated. Accordingly, we could suffer unexpected losses, incur additional expenses to correct failures in our systems, and be subject to potential claims from third parties and government agencies. Any of these consequences could adversely affect our reputation, business, financial condition, and results of operations.</w:t>
      </w:r>
    </w:p>
    <w:p>
      <w:pPr>
        <w:spacing w:after="0" w:line="1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A failure or breach of our communications and information security systems, or those of our vendors and customers, and cybersecurity incidents, including cyber-attacks, could disrupt our business, result in the disclosure or misuse of confidential or proprietary information, damage our reputation and create significant financial and legal exposure for us.</w:t>
      </w:r>
    </w:p>
    <w:p>
      <w:pPr>
        <w:spacing w:after="0" w:line="1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color w:val="auto"/>
        </w:rPr>
        <w:t>The Company, our vendors (inclusive of vendors to our vendors) and our customers rely heavily on communications and information security systems to securely and reliably process, record, transmit and monitor confidential and other information through our and their computer systems and networks. Our operational systems, including, among other things, deposit and loan servicing, online and mobile banking, wealth management, accounting and data processing, could be materially adversely impacted by a failure, interruption or breach in the security or integrity of any of these systems, including systems under the control of vendors. As a financial institution, the Company is subject to ongoing threats to its systems, software, networks and other technology that originate from various sources, including our employees, cyber-criminals, hacktivists, groups linked to terrorist organizations or hostile countries, and third parties aiming to disrupt financial institutions more generally. Information security threats include computer hacking involving the introduction of computer viruses or malicious code known as “malware” into the Company’s systems, cyber-attacks, identity theft, electronic fraudulent activity and attempted theft of</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24" w:name="page25"/>
    <w:bookmarkEnd w:id="24"/>
    <w:p>
      <w:pPr>
        <w:jc w:val="both"/>
        <w:spacing w:after="0" w:line="249" w:lineRule="auto"/>
        <w:rPr>
          <w:sz w:val="20"/>
          <w:szCs w:val="20"/>
          <w:color w:val="auto"/>
        </w:rPr>
      </w:pPr>
      <w:r>
        <w:rPr>
          <w:rFonts w:ascii="Times New Roman" w:cs="Times New Roman" w:eastAsia="Times New Roman" w:hAnsi="Times New Roman"/>
          <w:sz w:val="18"/>
          <w:szCs w:val="18"/>
          <w:color w:val="auto"/>
        </w:rPr>
        <w:t>financial assets. These threats, which are designed to obtain unauthorized access to confidential information belonging to the Company or its customers, manipulate or destroy data or systems, disrupt service on the Company’s systems, or steal money through the use of “ransomware” or unauthorized funds transfers, are increasing in frequency and sophistication and are often facilitated by AI tools. In addition, our systems are threatened by unpredictable events such as terrorist attacks, power outages or tornadoes or other natural disasters. The Company may not be able to effectively implement, develop and manage critical systems and information technology infrastructure to facilitate strategic business initiatives, which could impair our ability to achieve financial, operational, compliance and strategic objectives and negatively affect our business, financial condition or results of operations.</w:t>
      </w:r>
    </w:p>
    <w:p>
      <w:pPr>
        <w:spacing w:after="0" w:line="133"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color w:val="auto"/>
        </w:rPr>
        <w:t>We have invested a significant amount of time and expense in security infrastructure investments and the development of policies and procedures governing our operations as well as in employee training and the monitoring of our vendors, in our efforts to preserve the security, integrity and continuity of our operations from the aforementioned threats. As described in the next paragraph, however, we have experienced security incidents and cyber-attacks, although none have</w:t>
      </w:r>
    </w:p>
    <w:p>
      <w:pPr>
        <w:spacing w:after="0" w:line="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6"/>
          <w:szCs w:val="16"/>
          <w:color w:val="auto"/>
        </w:rPr>
        <w:t>materially impacted the Company. Importantly, though, due to the difficulty in anticipating, detecting and recognizing threats to the Company’s systems, coupled with the fact that we do not have control over the information security systems of customers, vendors and third parties, we can provide no assurances that our systems, or our vendor’s or customer’s systems, will not experience in the future any material failures, interruptions or security breaches of our communications and information securities systems or that, if any such failures, interruptions or breaches occur, they will be addressed in a timely and adequate manner. A successful penetration or circumvention of our security systems or other significant disruption of our information systems or those of customers, vendors or other third parties, including as a result of cyber-attacks, could (i) significantly and adversely impact our operations or those of our customers by disrupting our networks and systems; (ii) result in the unauthorized access to, and destruction, loss, theft, misappropriation or release of confidential, sensitive or otherwise valuable information and the use of such information to process fraudulent transactions; (iii) result in a violation of applicable privacy, data breach and other laws, subjecting the Company to additional regulatory scrutiny and exposure to civil litigation, criminal penalties, governmental fines or sanctions or financial liability; (iv) require significant management attention and resources to respond, remediate or remedy the damages that result; and/or (v) harm the reputation of or cause a loss of confidence in, the Company, in turn resulting in a decrease in the number of customers that choose to do business with the Company. Further, the extent of a particular failure, interruption or security breach of our communications and information securities systems, and the steps that the Company may need to take to investigate and remedy the matter, may not be immediately clear, and it may take a significant amount of time before such an</w:t>
      </w:r>
    </w:p>
    <w:p>
      <w:pPr>
        <w:spacing w:after="0" w:line="2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investigation or determination, judicial or otherwise, can be completed. The occurrence of any of the foregoing could have a material adverse effect on our business, financial condition, results of operations or profitability. This in turn could result in financial losses to us or our customers, lasting damage to our reputation, the violation of privacy or other laws and significant litigation risk, all of which could have a material adverse effect on our financial condition and results of operations.</w:t>
      </w:r>
    </w:p>
    <w:p>
      <w:pPr>
        <w:spacing w:after="0" w:line="131"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6"/>
          <w:szCs w:val="16"/>
          <w:color w:val="auto"/>
        </w:rPr>
        <w:t>The Company has experienced security incidents and cyber-attacks in the past, although to date none of these attacks has materially impacted the Company. For example, beginning in May 2023, the Company began receiving notices from a number of its vendors regarding data breaches related to the MOVEit Transfer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software suffered by the vendor or a vendor to such vendor (the Company itself did not use the software). The data breaches experienced by these vendors</w:t>
      </w:r>
    </w:p>
    <w:p>
      <w:pPr>
        <w:spacing w:after="0" w:line="5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involved the names, account numbers, Social Security numbers and other nonpublic personal information of a relatively small number of our customers. For each incident, the Company caused notices of the data breach to be delivered to impacted clients and notified federal and state regulatory authorities about the incident. The relevant vendors also offered complementary credit monitoring services to consumer customers. The Company has also heightened its monitoring of the vendors’ efforts to strengthen their information security infrastructure and prevent any further unauthorized access to its systems. Nonetheless, it is inevitable that additional attacks will occur in the future, which may result in security breaches. Future security breaches could result in serious and harmful consequences for the Company or its clients and customers.</w:t>
      </w:r>
    </w:p>
    <w:p>
      <w:pPr>
        <w:spacing w:after="0" w:line="13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i w:val="1"/>
          <w:iCs w:val="1"/>
          <w:color w:val="auto"/>
        </w:rPr>
        <w:t>The Company’s development and use of artificial intelligence, including generative and agentic artificial intelligence and machine learning, presents risks and challenges that may materially and adversely impact the Company’s business.</w:t>
      </w:r>
    </w:p>
    <w:p>
      <w:pPr>
        <w:spacing w:after="0" w:line="11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banking industry is subject to rapid and significant technological change. To effectively compete in this environment, the Company and its vendors, clients and counterparties have begun to incorporate AI technologies into certain business processes, services, and products. There are significant risks involved in deploying AI technologies, and no assurance can be provided that our use of AI will produce the intended results, or that the use of AI by our vendors will improve the quality of the products or services they deliver. Additionally, because the Company relies on AI models developed by third parties, we are dependent in part on the manner in which those third parties develop and train their models. Risk can result from poorly designed models or the use of faulty data, inadequate model testing or validation, narrow or limited human oversight, inadequate planning or due diligence, inappropriate or controversial data practices by developers or end-users, and other factors adversely affecting public opinion of AI and the acceptance of AI solutions. Furthermore, given the rapid pace of adoption of AI tools by vendors and service providers, we may not be aware of the use of AI solutions prior to such tools being introduced into our business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25" w:name="page26"/>
    <w:bookmarkEnd w:id="25"/>
    <w:p>
      <w:pPr>
        <w:jc w:val="both"/>
        <w:spacing w:after="0" w:line="268" w:lineRule="auto"/>
        <w:rPr>
          <w:sz w:val="20"/>
          <w:szCs w:val="20"/>
          <w:color w:val="auto"/>
        </w:rPr>
      </w:pPr>
      <w:r>
        <w:rPr>
          <w:rFonts w:ascii="Times New Roman" w:cs="Times New Roman" w:eastAsia="Times New Roman" w:hAnsi="Times New Roman"/>
          <w:sz w:val="18"/>
          <w:szCs w:val="18"/>
          <w:color w:val="auto"/>
        </w:rPr>
        <w:t>environment. Any of these risks could expose the Company to liability or material and adverse legal or regulatory consequences and harm the Company’s reputation and the public perception of our business or the effectiveness of our security measures.</w:t>
      </w:r>
    </w:p>
    <w:p>
      <w:pPr>
        <w:spacing w:after="0" w:line="11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inherent shortcomings of current AI technologies can lead to concerns around safety and soundness, fair access to financial services, fair treatment of consumers and compliance with applicable laws and regulations. AI models, particularly generative AI models, sometimes produce outputs or take action that is incorrect, reflects biases included in the data sets on which they are trained, results in the release of private, confidential, or proprietary information, infringes on the intellectual property rights of others, or is otherwise harmful. In addition, the novelty and complexity of many AI models makes it difficult to understand why they generate particular outputs. This limited transparency creates challenges when assessing the proper operation of AI models, understanding and monitoring the capabilities of AI models, reducing erroneous output, eliminating bias, and complying with regulations that require documentation or an explanation of the basis on which decisions are made. The legal and regulatory environment relating to AI is uncertain and rapidly evolving, and includes regulatory schemes specifically targeting AI as well as provisions in intellectual property, privacy, consumer protection, employment and other laws applicable to the use of AI. We may not anticipate how to respond to these rapidly evolving frameworks, and we may need to expend resources to adjust our operations or offerings if the legal frameworks are inconsistent across jurisdictions. Moreover, because AI technology itself is highly complex and rapidly developing, it is not possible to predict all of the legal, operational or technological risks that may arise relating to the use of AI, and the increase in the Company’s costs to address such risks, which may be material.</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risk management framework may not be effective in mitigating risk and loss to us.</w:t>
      </w:r>
    </w:p>
    <w:p>
      <w:pPr>
        <w:spacing w:after="0" w:line="16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We are subject to numerous risks, including lending risk, interest rate risk, liquidity risk, market risk, operational risk, information security risk and model risk, among other risks encountered in the ordinary course of our operations. We have implemented processes and procedures designed to identify, measure, monitor and mitigate these risks. However, all risk management frameworks are inherently limited, for a number of reasons. First, we may not have identified all material risks affecting our operations. Next, our current procedures may not anticipate future development of currently unanticipated or unknown risks. Also, we may have underestimated the impact of known risks or overestimated the effectiveness of the policies and procedures we have implemented to mitigate</w:t>
      </w:r>
    </w:p>
    <w:p>
      <w:pPr>
        <w:spacing w:after="0" w:line="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these risks. Increases in the scope and complexity of our operations and our reliance on vendors, among other things, have increased the level of risk that we must manage. Accordingly, we could suffer losses as a result of our failure to properly anticipate and manage these risks.</w:t>
      </w:r>
    </w:p>
    <w:p>
      <w:pPr>
        <w:spacing w:after="0" w:line="11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i w:val="1"/>
          <w:iCs w:val="1"/>
          <w:color w:val="auto"/>
        </w:rPr>
        <w:t>We recently identified a material weakness in our internal control over financial reporting, which could impact the Company’s ability to report its results of operations and financial condition accurately and in a timely manner.</w:t>
      </w:r>
    </w:p>
    <w:p>
      <w:pPr>
        <w:spacing w:after="0" w:line="11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Section 404 of the Sarbanes-Oxley Act of 2002, as amended, requires that we evaluate and determine the effectiveness of our internal control over financial reporting and provide a management report on internal control over financial reporting, which must be attested to by our independent registered public accounting firm. As of December 31, 2025, we identified a material weakness in the Company’s internal control over financial reporting and concluded that the Company’s internal control over financial reporting was not effective due to this material weakness. A material weakness is a deficiency, or a combination of deficiencies, in internal control over financial reporting such that there is a reasonable possibility that a material misstatement of our annual or interim consolidated financial statements would not be prevented or detected on a timely basis.</w:t>
      </w:r>
    </w:p>
    <w:p>
      <w:pPr>
        <w:spacing w:after="0" w:line="13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material weakness that we identified in the Company’s internal control over financial reporting related to the manual journal entry process impacting the Company’s general ledger accounts. We determined that, for a subset of journal entries that are manually entered into the Company’s general ledger, we failed to maintain effective segregation of duties. With respect to this subset of manual journal entries, it was possible for an individual to record an entry into our general ledger without prior approval. This material weakness did not result in any material misstatements to our consolidated financial statements and does not require any changes to previously filed financial statements, and we have concluded that our financial statements and other financial information included in this report and other periodic filings present fairly, in all material respects, our financial condition, results of operations, and cash flows for the periods presented in accordance with GAAP.</w:t>
      </w:r>
    </w:p>
    <w:p>
      <w:pPr>
        <w:spacing w:after="0" w:line="12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Management’s report on internal controls over financial reporting and our plan for remediation of the identified material weakness is contained in Item 9A, Controls and Procedures, of this report. Until the remediation plan is fully implemented, tested and deemed effective, we cannot provide assurance that our actions will adequately remediate the material weakness in the near term or at all, or that we will be able to identify and remediate any additional control deficiency, including any material weakness, that may arise in the future. Effective internal control over financial reporting is necessary for us to provide reliable and timely financial reports and, together with adequate disclosure controls and procedures, are designed to reasonably detect and prevent fraud. The occurrence of, or failure to remediate, this material weakness and any future material weaknesses in our internal control over financial reporting may adversely affect the accuracy and reliability and timeliness of our financial statements, result in harm to our reputation, require us to incur additional compliance costs, and have other consequences that could materially and adversely affect our business and our stock price.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Our financial condition and results of operations could be negatively affected if we fail to grow or fail to manage our growth effectively.</w:t>
      </w:r>
    </w:p>
    <w:p>
      <w:pPr>
        <w:spacing w:after="0" w:line="1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grown our business through the acquisition of entire financial institutions (most recently, our acquisition of The First on April 1, 2025) and non-bank commercial finance companies and through de novo branching. We intend to continue pursuing this growth strategy for the foreseeable future. Our prospects must be considered in light of the risks, expenses and difficulties frequently encountered by companies when expanding their franchise, including the following: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Management of Growth</w:t>
      </w:r>
      <w:r>
        <w:rPr>
          <w:rFonts w:ascii="Times New Roman" w:cs="Times New Roman" w:eastAsia="Times New Roman" w:hAnsi="Times New Roman"/>
          <w:sz w:val="18"/>
          <w:szCs w:val="18"/>
          <w:color w:val="auto"/>
        </w:rPr>
        <w:t>. We may be unable to successfully:</w:t>
      </w:r>
    </w:p>
    <w:p>
      <w:pPr>
        <w:spacing w:after="0" w:line="161" w:lineRule="exact"/>
        <w:rPr>
          <w:sz w:val="20"/>
          <w:szCs w:val="20"/>
          <w:color w:val="auto"/>
        </w:rPr>
      </w:pPr>
    </w:p>
    <w:p>
      <w:pPr>
        <w:ind w:left="640" w:hanging="319"/>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loan quality in the context of significant loan growth;</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adequate management personnel and systems to oversee such growth;</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adequate internal audit, loan review and compliance functions; and</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additional policies, procedures and operating systems required to support such growth.</w:t>
      </w:r>
    </w:p>
    <w:p>
      <w:pPr>
        <w:spacing w:after="0" w:line="1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u w:val="single" w:color="auto"/>
          <w:color w:val="auto"/>
        </w:rPr>
        <w:t>Operating Results</w:t>
      </w:r>
      <w:r>
        <w:rPr>
          <w:rFonts w:ascii="Times New Roman" w:cs="Times New Roman" w:eastAsia="Times New Roman" w:hAnsi="Times New Roman"/>
          <w:sz w:val="18"/>
          <w:szCs w:val="18"/>
          <w:color w:val="auto"/>
        </w:rPr>
        <w:t>. Existing offices or future offices may not maintain or achieve deposit levels, loan balances or other operating results necessary to avoid losses or produce profits in an efficient manner. Our growth strategy necessarily entails growth in overhead expenses as we add new offices and staff. Our historical results may not be indicative of future results or results that may be achieved if we increase the number of our branch offices. Should any new location be unprofitable or marginally profitable, or should existing locations experience a decline in profitability or incur losses, the adverse effect on our results of operations and financial condition could be more significant than would be the case for a larger company.</w:t>
      </w:r>
    </w:p>
    <w:p>
      <w:pPr>
        <w:spacing w:after="0" w:line="133" w:lineRule="exact"/>
        <w:rPr>
          <w:sz w:val="20"/>
          <w:szCs w:val="20"/>
          <w:color w:val="auto"/>
        </w:rPr>
      </w:pPr>
    </w:p>
    <w:p>
      <w:pPr>
        <w:jc w:val="both"/>
        <w:spacing w:after="0" w:line="332" w:lineRule="auto"/>
        <w:rPr>
          <w:sz w:val="20"/>
          <w:szCs w:val="20"/>
          <w:color w:val="auto"/>
        </w:rPr>
      </w:pPr>
      <w:r>
        <w:rPr>
          <w:rFonts w:ascii="Times New Roman" w:cs="Times New Roman" w:eastAsia="Times New Roman" w:hAnsi="Times New Roman"/>
          <w:sz w:val="16"/>
          <w:szCs w:val="16"/>
          <w:u w:val="single" w:color="auto"/>
          <w:color w:val="auto"/>
        </w:rPr>
        <w:t>Expansion into New Markets</w:t>
      </w:r>
      <w:r>
        <w:rPr>
          <w:rFonts w:ascii="Times New Roman" w:cs="Times New Roman" w:eastAsia="Times New Roman" w:hAnsi="Times New Roman"/>
          <w:sz w:val="16"/>
          <w:szCs w:val="16"/>
          <w:color w:val="auto"/>
        </w:rPr>
        <w:t>. Much of our recent growth has been focused in the highly-competitive metropolitan areas within our footprint. In these growth markets we face competition from a wide array of financial institutions and commercial finance companies, including much larger, well-established companies.</w:t>
      </w:r>
    </w:p>
    <w:p>
      <w:pPr>
        <w:spacing w:after="0" w:line="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u w:val="single" w:color="auto"/>
          <w:color w:val="auto"/>
        </w:rPr>
        <w:t>Regulatory and Economic Factors</w:t>
      </w:r>
      <w:r>
        <w:rPr>
          <w:rFonts w:ascii="Times New Roman" w:cs="Times New Roman" w:eastAsia="Times New Roman" w:hAnsi="Times New Roman"/>
          <w:sz w:val="18"/>
          <w:szCs w:val="18"/>
          <w:color w:val="auto"/>
        </w:rPr>
        <w:t>. Our growth and expansion plans may be adversely affected by a number of regulatory and economic developments or other events. Failure to obtain, or a delay in obtaining, required regulatory approvals, changes in laws and regulations or other regulatory developments and changes in prevailing economic conditions or other unanticipated events may prevent or adversely affect our continued growth and expansion. Such factors may cause us to alter our growth and expansion plans or slow or halt the growth and expansion process, which may prevent us from entering certain target markets or allow competitors to gain or retain market share in our existing or expected markets.</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Failure to successfully address these issues could have a material adverse effect on our financial condition and results of operations and could adversely affect our ability to successfully implement our business strategy. Also, if our growth occurs more slowly than anticipated or declines, our operating results could be materially adversely affected.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fail to realize the anticipated benefits of our acquisitions.</w:t>
      </w:r>
    </w:p>
    <w:p>
      <w:pPr>
        <w:spacing w:after="0" w:line="16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success of our acquisitions, including our acquisition of The First, depends on, among other things, our ability to realize anticipated cost savings and integrate the acquired assets and operations in a manner that permits growth opportunities and does not materially disrupt our existing customer relationships or result in decreased revenues resulting from any loss of customers. If we are not able to successfully achieve these objectives, the anticipated benefits of the acquisition may not be realized fully or at all or may take longer to realize than expected. Additionally, we make fair value estimates of certain assets and liabilities in recording each acquisition. Actual values of these assets and liabilities could differ from our estimates, which could result in our not achieving the anticipated benefits of the particular acquisition.</w:t>
      </w:r>
    </w:p>
    <w:p>
      <w:pPr>
        <w:spacing w:after="0" w:line="1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cannot assure investors that our acquisitions will have positive results, including results relating to: correctly assessing the asset quality of the assets acquired; the total cost of integration (“integration” encompassing not just systems conversion but also the combination of the customers, employees, processes and procedures of the acquired entity into our own), including management attention and resources; the time required to complete the integration successfully; the amount of longer-term cost savings; being able to profitably deploy funds acquired in the transaction; retaining the existing client relationships; or the overall performance of the combined business.</w:t>
      </w:r>
    </w:p>
    <w:p>
      <w:pPr>
        <w:spacing w:after="0" w:line="13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Our future growth and profitability depend, in part, on our ability to successfully manage the combined operations. Integration of an acquired business can be complex and costly, and we may encounter a number of difficulties, such as:</w:t>
      </w:r>
    </w:p>
    <w:p>
      <w:pPr>
        <w:spacing w:after="0" w:line="117" w:lineRule="exact"/>
        <w:rPr>
          <w:sz w:val="20"/>
          <w:szCs w:val="20"/>
          <w:color w:val="auto"/>
        </w:rPr>
      </w:pPr>
    </w:p>
    <w:p>
      <w:pPr>
        <w:ind w:left="640" w:hanging="319"/>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attrition, customer loss and revenue loss;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7" w:name="page28"/>
    <w:bookmarkEnd w:id="27"/>
    <w:p>
      <w:pPr>
        <w:ind w:left="640" w:hanging="319"/>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employees;</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disruption of our operations and business;</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and increase competitive presence;</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inconsistencies in standards, control procedures and policies;</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problems with costs, operations, personnel, technology and credit; and/or</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and economic conditions or governmental actions affecting the financial industry.</w:t>
      </w:r>
    </w:p>
    <w:p>
      <w:pPr>
        <w:spacing w:after="0" w:line="21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Additionally, general market and economic conditions or governmental actions affecting the financial industry generally may inhibit our successful integration of the operations acquired.</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continue to experience increased credit costs or need to take additional markdowns and make additional provisions to the allowance for credit losses on loans. Any of these actions could adversely affect our financial condition and results of operations in the future. In addition, the attention and effort devoted to the integration of an acquired business may divert management’s attention from other important issues and could harm our business.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First may have liabilities that are not known to us.</w:t>
      </w:r>
    </w:p>
    <w:p>
      <w:pPr>
        <w:spacing w:after="0" w:line="1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the merger with The First, we assumed all of The First’s liabilities by operation of law. There may be liabilities that we failed or were unable to discover in the course of performing due diligence investigations into The First, or we may not have correctly assessed the significance of certain liabilities of The First identified in the course of our due diligence. Any such liabilities, individually or in the aggregate, could have a material adverse effect on our business, financial condition and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face risks with respect to future acquisitions.</w:t>
      </w:r>
    </w:p>
    <w:p>
      <w:pPr>
        <w:spacing w:after="0" w:line="16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When we attempt to expand our business through mergers and acquisitions (including FDIC-assisted transactions), we seek targets that are culturally similar to us, have experienced management and possess either significant market presence or have potential for improved profitability through economies of scale or expanded services or, in the case of FDIC-assisted transactions, on account of the loss share arrangements with the FDIC associated with such transactions. In addition to the general risks associated with our growth plans and the particular risks associated with FDIC-assisted transactions, both of which are highlighted above, in general acquiring other banks, businesses or branches involves various risks commonly associated with acquisitions, including, among other things:</w:t>
      </w:r>
    </w:p>
    <w:p>
      <w:pPr>
        <w:spacing w:after="0" w:line="103" w:lineRule="exact"/>
        <w:rPr>
          <w:sz w:val="20"/>
          <w:szCs w:val="20"/>
          <w:color w:val="auto"/>
        </w:rPr>
      </w:pPr>
    </w:p>
    <w:p>
      <w:pPr>
        <w:ind w:left="640" w:hanging="319"/>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associated with identifying and evaluating potential acquisition and merger targets and negotiating a transaction;</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inaccuracies in the estimates and judgments used to evaluate credit, operations, management and market risks with respect to the target institution;</w:t>
      </w:r>
    </w:p>
    <w:p>
      <w:pPr>
        <w:spacing w:after="0" w:line="161"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of evaluating new markets, hiring experienced local management and opening new bank locations, and the time lags between these activities and the generation of sufficient assets and deposits to support the costs of the expansion;</w:t>
      </w:r>
    </w:p>
    <w:p>
      <w:pPr>
        <w:spacing w:after="0" w:line="11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finance an acquisition and possible dilution to our existing shareholders;</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an impairment of goodwill associated with an acquisition and adverse effects on our results of operations;</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new markets where we lack experience; and</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integrating the operations and personnel of acquired businesses.</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expect to continue to evaluate merger and acquisition opportunities (including FDIC-assisted transactions) that are presented to us and conduct due diligence activities related to possible transactions with other financial institutions and other companies. As a result, merger or acquisition discussions and, in some cases, negotiations may take place and future mergers or acquisitions involving cash, debt or equity securities may occur at any time. Historically, acquisitions of non-failed financial institutions and other companies involve the payment of a premium over book and market values, and, therefore, some dilution of our book value and net income per common share may occur in connection with any future transaction. Failure to realize the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28" w:name="page29"/>
    <w:bookmarkEnd w:id="28"/>
    <w:p>
      <w:pPr>
        <w:jc w:val="both"/>
        <w:spacing w:after="0" w:line="268" w:lineRule="auto"/>
        <w:rPr>
          <w:sz w:val="20"/>
          <w:szCs w:val="20"/>
          <w:color w:val="auto"/>
        </w:rPr>
      </w:pPr>
      <w:r>
        <w:rPr>
          <w:rFonts w:ascii="Times New Roman" w:cs="Times New Roman" w:eastAsia="Times New Roman" w:hAnsi="Times New Roman"/>
          <w:sz w:val="18"/>
          <w:szCs w:val="18"/>
          <w:color w:val="auto"/>
        </w:rPr>
        <w:t>expected revenue increases, cost savings, increases in geographic or product presence and/or other projected benefits from an acquisition could have a material adverse effect on our financial condition and results of operations.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Our Common Stock</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ability to declare and pay dividends is limited by law, and we may be unable to pay future dividends.</w:t>
      </w:r>
    </w:p>
    <w:p>
      <w:pPr>
        <w:spacing w:after="0" w:line="16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We are a separate and distinct legal entity from the Bank, and we receive substantially all of our revenue from dividends from the Bank. These dividends are the principal source of funds to pay dividends on our common stock and interest and principal on our debt. Various federal and/or state laws and regulations limit the amount of dividends that the Bank may pay to us. In the event the Bank is unable to pay dividends to us, we may not be able to service our debt, pay our obligations or pay dividends on our common stock. The inability to receive dividends from the Bank could have a material adverse effect on our business, financial condition and results of operations. The information under Note 19, “Restrictions on Cash, Securities, Bank Dividends, Loans or Advances,” in the Notes to Consolidated Financial Statements in Item 8, Financial Statements and Supplementary Data, in this report provides a detailed discussion about the restrictions governing the Bank’s ability to transfer funds to us.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Holders of our junior subordinated debentures have rights that are senior to those of our common shareholders.</w:t>
      </w:r>
    </w:p>
    <w:p>
      <w:pPr>
        <w:spacing w:after="0" w:line="16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have supported a portion of our growth through the issuance of trust preferred securities from special purpose trusts and accompanying junior subordinated debentures. Also, in connection with our acquisitions of other financial institutions, we have assumed junior subordinated debentures. Payments of the principal and interest on the trust preferred securities of these trusts are conditionally guaranteed by us. Further, the junior subordinated debentures we issued to the trusts are senior to our shares of common stock. As a result, we must make payments on the junior subordinated debentures before any dividends can be paid on our common stock and, in the event of our bankruptcy, dissolution or liquidation, the holders of the junior subordinated debentures must be satisfied before any distributions can be made on our common stock (such dividend restrictions do not apply to our outstanding subordinated notes). We have the right to defer distributions on our junior subordinated debentures (and the related trust preferred securities) for up to five years, during which time no dividends may be paid on our common stock.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 investment in our common stock is not an insured deposit.</w:t>
      </w:r>
    </w:p>
    <w:p>
      <w:pPr>
        <w:spacing w:after="0" w:line="2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common stock is not a bank deposit and, therefore, is not insured against loss by the FDIC, any deposit insurance fund or by any other public or private entity. Investment in our common stock is inherently risky and is subject to the same market forces that affect the price of common stock in any company. As a result, an investor may lose some or all of its investment in our common stock.</w:t>
      </w:r>
    </w:p>
    <w:p>
      <w:pPr>
        <w:spacing w:after="0" w:line="13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i w:val="1"/>
          <w:iCs w:val="1"/>
          <w:color w:val="auto"/>
        </w:rPr>
        <w:t>Our Articles of Incorporation and Bylaws, as well as certain banking laws, could decrease our chances of being acquired even if our acquisition is in our shareholders’ best interests.</w:t>
      </w:r>
    </w:p>
    <w:p>
      <w:pPr>
        <w:spacing w:after="0" w:line="1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Provisions of our Articles of Incorporation and Bylaws and federal banking laws, including regulatory approval requirements, could make it more difficult for a third party to acquire us, even if doing so would be perceived to be beneficial to our shareholders. The combination of these provisions impedes a non-negotiated merger or other business combination, which, in turn, could adversely affect the market price of our common stock.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issuance of preferred stock could adversely affect holders of our common stock and discourage a takeover.</w:t>
      </w:r>
    </w:p>
    <w:p>
      <w:pPr>
        <w:spacing w:after="0" w:line="16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shareholders authorized the Board of Directors to issue up to 5,000,000 shares of preferred stock without any further action on the part of our shareholders. Our Board of Directors also has the power, without shareholder approval, to set the terms of any series of preferred stock that may be issued, including voting rights, dividend rights, preferences over our common stock with respect to dividends or in the event of a dissolution, liquidation or winding up and other terms. In the event that we issue preferred stock in the future that has preference over our common stock with respect to payment of dividends or upon our liquidation, dissolution or winding up, or if we issue preferred stock with voting rights that dilute the voting power of our common stock, the rights of the holders of our common stock or the market price of our common stock could be materially and adversely affected. In addition, the ability of our Board of Directors to issue shares of preferred stock without any action on the part of our shareholders may impede a takeover of us and prevent a transaction perceived to be favorable to our shareholders.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eligible for future sale could have a dilutive effect.</w:t>
      </w:r>
    </w:p>
    <w:p>
      <w:pPr>
        <w:spacing w:after="0" w:line="1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Shares of our common stock eligible for future sale, including those that may be issued in any other private or public offering of our common stock for cash or as incentives under equity incentive plans, could have a dilutive effect on the market for our common stock and could adversely affect market prices. As of February 20, 2026, there were 250,000,000 shares of our common stock authorized, of which 94,142,307 shares were outstanding.</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82"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and Strategy</w:t>
      </w:r>
    </w:p>
    <w:p>
      <w:pPr>
        <w:spacing w:after="0" w:line="1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Company’s information security program, including its processes with respect to cybersecurity, is focused on protecting our systems, networks and data from unauthorized access by a third party. Concerns about cybersecurity risks impact, at some level, every facet of the Company’s operations, from the way we structure the services we offer, to how we communicate with our customers, to our interactions with and training of employees, and to the expenditures we make when expanding and enhancing our technological infrastructure. We expect this continue to be the case as cybersecurity threats, and the means to respond to those threats, continue to evolve.</w:t>
      </w:r>
    </w:p>
    <w:p>
      <w:pPr>
        <w:spacing w:after="0" w:line="13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Company has adopted a defense-in-depth philosophy that relies on multiple systems and processes to reasonably provide for the confidentiality, integrity and availability of our systems, networks and data. Features of our information security include:</w:t>
      </w:r>
    </w:p>
    <w:p>
      <w:pPr>
        <w:spacing w:after="0" w:line="117" w:lineRule="exact"/>
        <w:rPr>
          <w:sz w:val="20"/>
          <w:szCs w:val="20"/>
          <w:color w:val="auto"/>
        </w:rPr>
      </w:pPr>
    </w:p>
    <w:p>
      <w:pPr>
        <w:jc w:val="both"/>
        <w:ind w:left="640" w:hanging="319"/>
        <w:spacing w:after="0" w:line="252" w:lineRule="auto"/>
        <w:tabs>
          <w:tab w:leader="none" w:pos="6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Documentation: We have written policies and procedures that delineate the roles and responsibilities of the Company’s Board of Directors, executive management and other employees, as well as outside parties, with respect to the various aspects of the information security program. This documentation helps to align the entire information security program with our efforts to maintain the integrity of the Company’s cybersecurity. These policies and procedures are reviewed and updated at least annually.</w:t>
      </w:r>
    </w:p>
    <w:p>
      <w:pPr>
        <w:spacing w:after="0" w:line="130" w:lineRule="exact"/>
        <w:rPr>
          <w:rFonts w:ascii="Times New Roman" w:cs="Times New Roman" w:eastAsia="Times New Roman" w:hAnsi="Times New Roman"/>
          <w:sz w:val="18"/>
          <w:szCs w:val="18"/>
          <w:color w:val="auto"/>
        </w:rPr>
      </w:pPr>
    </w:p>
    <w:p>
      <w:pPr>
        <w:jc w:val="both"/>
        <w:ind w:left="640" w:hanging="319"/>
        <w:spacing w:after="0" w:line="252" w:lineRule="auto"/>
        <w:tabs>
          <w:tab w:leader="none" w:pos="6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Separation of duties: Separation of duties means that, where appropriate, a task is designed to ensure that more than one person or group is responsible for its completion. We believe that separation of duties helps to prevent fraud, misuse or other security compromise, and we apply this concept when we delegate administrative and oversight responsibilities to multiple groups for certain aspects of the information security program, including identity and access management, network management, system administration, policy oversight, monitoring and alerting.</w:t>
      </w:r>
    </w:p>
    <w:p>
      <w:pPr>
        <w:spacing w:after="0" w:line="130" w:lineRule="exact"/>
        <w:rPr>
          <w:rFonts w:ascii="Times New Roman" w:cs="Times New Roman" w:eastAsia="Times New Roman" w:hAnsi="Times New Roman"/>
          <w:sz w:val="18"/>
          <w:szCs w:val="18"/>
          <w:color w:val="auto"/>
        </w:rPr>
      </w:pPr>
    </w:p>
    <w:p>
      <w:pPr>
        <w:jc w:val="both"/>
        <w:ind w:left="640" w:hanging="319"/>
        <w:spacing w:after="0" w:line="250" w:lineRule="auto"/>
        <w:tabs>
          <w:tab w:leader="none" w:pos="6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principle of least privilege: Access approval for the Company’s employees is coordinated between an employee’s manager, the Company’s human resources department and the information systems administrator. The goal is to give an employee access rights to our data, applications and other information resources only to the extent necessary for the employee to perform the functions of the particular job. Any change in employment responsibilities that requires access changes is implemented using the same access approval procedures. Finally, all remote access into the Company’s networks must be approved by the Chief Information Security Officer (whom we refer to as the “CISO”).</w:t>
      </w:r>
    </w:p>
    <w:p>
      <w:pPr>
        <w:spacing w:after="0" w:line="132" w:lineRule="exact"/>
        <w:rPr>
          <w:rFonts w:ascii="Times New Roman" w:cs="Times New Roman" w:eastAsia="Times New Roman" w:hAnsi="Times New Roman"/>
          <w:sz w:val="18"/>
          <w:szCs w:val="18"/>
          <w:color w:val="auto"/>
        </w:rPr>
      </w:pPr>
    </w:p>
    <w:p>
      <w:pPr>
        <w:jc w:val="both"/>
        <w:ind w:left="640" w:hanging="319"/>
        <w:spacing w:after="0" w:line="252" w:lineRule="auto"/>
        <w:tabs>
          <w:tab w:leader="none" w:pos="6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Vulnerability and patch management: The Company’s vulnerability management program includes internal and external scanning using third-party tools and services. Software patches are deployed based on criticality of vulnerability. Further, we track our performance in implementing patches, and if implementation timing falls below performance expectations, management takes steps to identify and remediate the root causes of implementation delays.</w:t>
      </w:r>
    </w:p>
    <w:p>
      <w:pPr>
        <w:spacing w:after="0" w:line="130" w:lineRule="exact"/>
        <w:rPr>
          <w:rFonts w:ascii="Times New Roman" w:cs="Times New Roman" w:eastAsia="Times New Roman" w:hAnsi="Times New Roman"/>
          <w:sz w:val="18"/>
          <w:szCs w:val="18"/>
          <w:color w:val="auto"/>
        </w:rPr>
      </w:pPr>
    </w:p>
    <w:p>
      <w:pPr>
        <w:jc w:val="both"/>
        <w:ind w:left="640" w:hanging="319"/>
        <w:spacing w:after="0" w:line="256" w:lineRule="auto"/>
        <w:tabs>
          <w:tab w:leader="none" w:pos="6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assessments: At least annually, management conducts risk assessments to assess the existence, severity and trends of cybersecurity risks and other risks that the Company’s information security program faces. The scope of an individual risk assessment can be the whole organization, parts of the organization, an individual information system, specific system components, or services.</w:t>
      </w:r>
    </w:p>
    <w:p>
      <w:pPr>
        <w:spacing w:after="0" w:line="127"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 management: System security logs are consolidated by the Company’s Security Incident and Event Management system and are reviewed via both automatic and manual processes for anomalous behavior.</w:t>
      </w:r>
    </w:p>
    <w:p>
      <w:pPr>
        <w:spacing w:after="0" w:line="116" w:lineRule="exact"/>
        <w:rPr>
          <w:rFonts w:ascii="Times New Roman" w:cs="Times New Roman" w:eastAsia="Times New Roman" w:hAnsi="Times New Roman"/>
          <w:sz w:val="18"/>
          <w:szCs w:val="18"/>
          <w:color w:val="auto"/>
        </w:rPr>
      </w:pPr>
    </w:p>
    <w:p>
      <w:pPr>
        <w:jc w:val="both"/>
        <w:ind w:left="640" w:hanging="319"/>
        <w:spacing w:after="0" w:line="256" w:lineRule="auto"/>
        <w:tabs>
          <w:tab w:leader="none" w:pos="6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Incident response: The incident response process is designed to, among other things, promptly elevate a cybersecurity threat or incident to the parties responsible for leading our efforts to identify, contain and mitigate the threat or incident, notify impacted customers or other third parties and comply with applicable law, regulations and regulatory expectations.</w:t>
      </w:r>
    </w:p>
    <w:p>
      <w:pPr>
        <w:spacing w:after="0" w:line="127" w:lineRule="exact"/>
        <w:rPr>
          <w:rFonts w:ascii="Times New Roman" w:cs="Times New Roman" w:eastAsia="Times New Roman" w:hAnsi="Times New Roman"/>
          <w:sz w:val="18"/>
          <w:szCs w:val="18"/>
          <w:color w:val="auto"/>
        </w:rPr>
      </w:pPr>
    </w:p>
    <w:p>
      <w:pPr>
        <w:jc w:val="both"/>
        <w:ind w:left="640" w:hanging="319"/>
        <w:spacing w:after="0" w:line="256" w:lineRule="auto"/>
        <w:tabs>
          <w:tab w:leader="none" w:pos="6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training: Information security is an integral component of our employee training program. Training includes efforts to maintain security awareness among employees at all times by means of required company-wide communications of cybersecurity risks or incidents affecting third parties, internal testing and similar efforts.</w:t>
      </w:r>
    </w:p>
    <w:p>
      <w:pPr>
        <w:spacing w:after="0" w:line="1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information security program applies to all of the Company’s business lines and employees as well as to vendors and other third parties with access to the Company’s information systems or its confidential and proprietary information. Whenever we consider a new product or service to offer to our clients, a new means of offering or providing an existing product or service, or</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30" w:name="page31"/>
    <w:bookmarkEnd w:id="30"/>
    <w:p>
      <w:pPr>
        <w:jc w:val="both"/>
        <w:spacing w:after="0" w:line="256" w:lineRule="auto"/>
        <w:rPr>
          <w:sz w:val="20"/>
          <w:szCs w:val="20"/>
          <w:color w:val="auto"/>
        </w:rPr>
      </w:pPr>
      <w:r>
        <w:rPr>
          <w:rFonts w:ascii="Times New Roman" w:cs="Times New Roman" w:eastAsia="Times New Roman" w:hAnsi="Times New Roman"/>
          <w:sz w:val="18"/>
          <w:szCs w:val="18"/>
          <w:color w:val="auto"/>
        </w:rPr>
        <w:t>a new back-office process or procedure (each of which may involve the incorporation of AI technologies), the implications to the Company’s information security are required to be considered. The discussion below under the “Governance and Oversight” heading provides more details about how our efforts to address cybersecurity risks are incorporated into the Company’s overall enterprise risk management program.</w:t>
      </w:r>
    </w:p>
    <w:p>
      <w:pPr>
        <w:spacing w:after="0" w:line="1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CISO, a Certified Information Systems Security Professional, leads the Company’s information security team, which has over 50 years’ combined experience in providing solutions to manage information security, compliance, privacy and technology management. The Board of Directors’ Technology Committee and its Enterprise Risk Management Committee (the “ERM Committee”) oversee our information security team, receiving regular updates related to the material features of the information security program, our success and failures in maintaining information security and emerging threats and management’s proposed response thereto.</w:t>
      </w:r>
    </w:p>
    <w:p>
      <w:pPr>
        <w:spacing w:after="0" w:line="13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u w:val="single" w:color="auto"/>
          <w:color w:val="auto"/>
        </w:rPr>
        <w:t>Strategy and Testing</w:t>
      </w:r>
      <w:r>
        <w:rPr>
          <w:rFonts w:ascii="Times New Roman" w:cs="Times New Roman" w:eastAsia="Times New Roman" w:hAnsi="Times New Roman"/>
          <w:sz w:val="18"/>
          <w:szCs w:val="18"/>
          <w:color w:val="auto"/>
        </w:rPr>
        <w:t>. As mentioned above, the Company employs a layered, defense-in-depth approach that leverages people, processes and technology to manage and maintain cybersecurity controls. We also employ a variety of preventative and detective tools to monitor, block and provide alerts regarding suspicious activity and to report on any suspected threats. These controls include appropriate access controls based on least privilege, multifactor authentication for remote and privilege access, and encryption to protect data. The information security program is designed to comply with applicable laws and regulations and is driven by industry standards for financial institutions, including guidance promulgated by the National Institute of Standards and Technology (“NIST”). We work closely with government and industry associations to stay abreast of developments and share best practices with respect to cybersecurity. The following paragraphs describe how we test, or otherwise obtain feedback about, the Company’s cybersecurity and other information security. The feedback we develop through testing and assessment, in addition to information about cybersecurity threats or incidents impacting other entities, is incorporated into the Company’s information security program to enhance our cybersecurity; in certain circumstances a new or emerging cybersecurity threat may require modifications to how we conduct business.</w:t>
      </w:r>
    </w:p>
    <w:p>
      <w:pPr>
        <w:spacing w:after="0" w:line="1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information security team utilizes the NIST Cybersecurity Framework to perform an annual maturity assessment of our information security program. The assessment provides a repeatable and measurable process for institutions to measure their cybersecurity preparedness over time. The assessment incorporates cybersecurity-related principles , including the Federal Financial Institutions Examination Council’s Information Technology Examination Handbook and regulatory guidance, and concepts from other industry standards.</w:t>
      </w:r>
    </w:p>
    <w:p>
      <w:pPr>
        <w:spacing w:after="0" w:line="13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also retain third parties to test the effectiveness of our cybersecurity efforts. Annually, we obtain independent third party assessments of the information security program, including program maturity and overall control effectiveness. In addition, multiple times over the course of each year we engage third party security firms to conduct both external and internal penetration tests. The goal of these assessments is to discover vulnerabilities in the Company’s in-scope corporate networks. When testing reveals potential vulnerabilities in the Company’s security, management works to develop appropriate mitigation plans to resolve any outstanding issues; we also consider other recommendations to enhance our cybersecurity that these security firms may offer, implementing those that management concludes are appropriate within the context of the Company’s information security program and processes.</w:t>
      </w:r>
    </w:p>
    <w:p>
      <w:pPr>
        <w:spacing w:after="0" w:line="13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6"/>
          <w:szCs w:val="16"/>
          <w:color w:val="auto"/>
        </w:rPr>
        <w:t>In addition to assessments and testing by third party security firms, our information security program and infrastructure is subject to continuous supervision by the Federal Reserve and the DBCF, including an annual in-depth examination by subject-matter experts from the Federal Reserve and DBCF. The laws and regulations that these regulators administer impose very high expectations on the Company with respect to its information security policies, procedures, processes and controls. In particular, the Interagency Guidelines Establishing Information Security Standards (the “Guidelines”) require us to implement a comprehensive written information security program that includes administrative, technical and physical safeguards designed to (1) ensure the security and confidentiality of customer information; (2) protect against any anticipated threats or hazards to the security or integrity of such information; (3) protect against unauthorized access to or use of such information that could result in substantial harm or inconvenience to any customer; and (4) ensure the proper disposal of customer information and consumer information. We also must comply with the information sharing requirements and restrictions enacted pursuant to the GLBA. The regulators’ continuous supervision of the Company is designed to ensure, among other things, that our information security program meets all the standards set forth in the Guidelines and that we operate in compliance with the GLBA and all other applicable information security laws and regulations. Finally, in addition to external scrutiny, our internal audit department reviews our compliance with the Guidelines, the GLBA and other laws and regulations, including those related to information security. If any of these examinations identify deficiencies or areas for improvement, the Company’s information security team works with management to act as promptly as reasonably possible to address the action item resulting from any such examination or review.</w:t>
      </w:r>
    </w:p>
    <w:p>
      <w:pPr>
        <w:spacing w:after="0" w:line="32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u w:val="single" w:color="auto"/>
          <w:color w:val="auto"/>
        </w:rPr>
        <w:t>Diligence of Vendors and Other Third Parties</w:t>
      </w:r>
      <w:r>
        <w:rPr>
          <w:rFonts w:ascii="Times New Roman" w:cs="Times New Roman" w:eastAsia="Times New Roman" w:hAnsi="Times New Roman"/>
          <w:sz w:val="18"/>
          <w:szCs w:val="18"/>
          <w:color w:val="auto"/>
        </w:rPr>
        <w:t>. As noted above, the Company’s information security program applies to our vendors and other third parties (referred to collectively as “vendors”) with access to our information systems and networks and/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31" w:name="page32"/>
    <w:bookmarkEnd w:id="31"/>
    <w:p>
      <w:pPr>
        <w:jc w:val="both"/>
        <w:spacing w:after="0" w:line="247" w:lineRule="auto"/>
        <w:rPr>
          <w:sz w:val="20"/>
          <w:szCs w:val="20"/>
          <w:color w:val="auto"/>
        </w:rPr>
      </w:pPr>
      <w:r>
        <w:rPr>
          <w:rFonts w:ascii="Times New Roman" w:cs="Times New Roman" w:eastAsia="Times New Roman" w:hAnsi="Times New Roman"/>
          <w:sz w:val="18"/>
          <w:szCs w:val="18"/>
          <w:color w:val="auto"/>
        </w:rPr>
        <w:t>or confidential and proprietary information. Before we grant access to the Company’s systems or a vendor otherwise obtains access to the Company’s confidential and proprietary information, our information security team assesses the vendor’s information security program (including its diligence with respect to the information security of vendors to such vendor). We review the vendor’s information security policy (to the extent the third party is willing to provide a copy of such policy), information security audits, service organization reports and similar information as well as examination reports of the vendor if available from the banking regulators or other governmental entities; the team also investigates the background, reputation and history of prior cybersecurity incidents of such vendor or other third party. If the information security team is not satisfied that the vendor’s information security infrastructure is adequate to reasonably protect the Company’s systems and confidential and proprietary information from unauthorized access, and there are no suitable solutions to address the information security team’s concerns, then we will not engage such vendor.</w:t>
      </w:r>
    </w:p>
    <w:p>
      <w:pPr>
        <w:spacing w:after="0" w:line="13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vendors we retain are also categorized by the level of risk that the vendor presents to us, of which information security risk is a component. The information security team works with our risk management services team to complete annual reviews of those vendors in the “Critical” or “Significant” categories and periodically reviews other vendors. This review includes obtaining updated information security audits and service organization reports, where available, mapping end user controls considerations to the Company’s existing internal control framework, and otherwise analyzing whether the vendor’s cybersecurity risk profile has materially changed.</w:t>
      </w:r>
    </w:p>
    <w:p>
      <w:pPr>
        <w:spacing w:after="0" w:line="13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The information security team’s review process does not, and cannot, guarantee that a Company vendor will not suffer a cybersecurity incident that impacts us. Due to the possibility that a vendor’s information security may be breached, we also negotiate provisions in vendor contracts that address cybersecurity incidents. In addition to including provisions that address the parties’ relative responsibility for damages resulting from a cybersecurity incident at a vendor, these contracts also typically include provisions to ensure that the Company receives timely and complete notification of a cybersecurity incident and cooperation in responding thereto so that we can assess the extent of the incident’s impact on the Company’s systems or information, mitigate any adverse effects arising therefrom and comply with any customer or regulation notification requirements and other legal, regulator or contractual obligations.</w:t>
      </w:r>
    </w:p>
    <w:p>
      <w:pPr>
        <w:spacing w:after="0" w:line="10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u w:val="single" w:color="auto"/>
          <w:color w:val="auto"/>
        </w:rPr>
        <w:t>Incident Response</w:t>
      </w:r>
      <w:r>
        <w:rPr>
          <w:rFonts w:ascii="Times New Roman" w:cs="Times New Roman" w:eastAsia="Times New Roman" w:hAnsi="Times New Roman"/>
          <w:sz w:val="18"/>
          <w:szCs w:val="18"/>
          <w:color w:val="auto"/>
        </w:rPr>
        <w:t>. For those situations where a cybersecurity threat or incident arises, whether internal to the Company or relating to one of its vendors, we have also organized an incident response team. The incident response team includes representatives from the information technology, operations, risk management, legal (including securities law counsel), privacy and finance departments, among others. In addition to meeting quarterly, the incident response team (or a subset of the team) gathers whenever there is a potential or actual breach of the Company’s information security (whether involving an external actor or an internal party) to determine the nature and extent of the situation and, if appropriate, the steps to take in response thereto to protect the Company’s information security and mitigate any harm that has already occurred. The team is also responsible for ensuring the Company complies with legal and regulatory requirements (including notifying affected customers and regulators and making any filings required by the securities laws). The activities of our incident response team are reported to the Board’s Enterprise Risk Management Committee.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maintains a cyber insurance policy that provides cyber liability coverage.</w:t>
      </w:r>
    </w:p>
    <w:p>
      <w:pPr>
        <w:spacing w:after="0" w:line="16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u w:val="single" w:color="auto"/>
          <w:color w:val="auto"/>
        </w:rPr>
        <w:t>Employee Training and Security Awareness</w:t>
      </w:r>
      <w:r>
        <w:rPr>
          <w:rFonts w:ascii="Times New Roman" w:cs="Times New Roman" w:eastAsia="Times New Roman" w:hAnsi="Times New Roman"/>
          <w:sz w:val="18"/>
          <w:szCs w:val="18"/>
          <w:color w:val="auto"/>
        </w:rPr>
        <w:t>. All employees are required to complete an annual security awareness training program. Courses within the training program include general cybersecurity best practices as well as a course specifically related to social engineering, email and social media security. The Company also conducts routine internally-focused exercises to help raise employee awareness of the risks associated with cybersecurity. For example, over the course of 2025, employees received at least one email per quarter designed to test employees’ ability to identify and avoid potential “phishing” emails, and those employees that fail this phishing test are assigned additional training. In addition, annually the Company’s incident response team engages in a cyber attack tabletop exercise designed by the Financial Services Information Sharing and Analysis Center that helps to train the incident response team in overcoming a simulated attack against Renasant’s payment systems and processes.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 and Oversight</w:t>
      </w:r>
    </w:p>
    <w:p>
      <w:pPr>
        <w:spacing w:after="0" w:line="1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u w:val="single" w:color="auto"/>
          <w:color w:val="auto"/>
        </w:rPr>
        <w:t>Management Role</w:t>
      </w:r>
      <w:r>
        <w:rPr>
          <w:rFonts w:ascii="Times New Roman" w:cs="Times New Roman" w:eastAsia="Times New Roman" w:hAnsi="Times New Roman"/>
          <w:sz w:val="18"/>
          <w:szCs w:val="18"/>
          <w:color w:val="auto"/>
        </w:rPr>
        <w:t>. The Company takes a layered approach to the governance of its cybersecurity risk management. The first line of defense against cybersecurity risk is the company’s information security team, led by the CISO. This team is primarily responsible for promptly identifying cybersecurity risks associated with our existing and anticipated operations and, once identified, assessing the level that each cybersecurity risk poses to us, and then controlling or mitigating to the extent reasonably possible (in the context of the Company’s operations and resources, and competitive factors affecting how banks and other financial services companies conduct operations, among other things).</w:t>
      </w:r>
    </w:p>
    <w:p>
      <w:pPr>
        <w:spacing w:after="0" w:line="13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efforts of our information security team to address cybersecurity risk are reviewed by the Company’s Risk Department, which oversees our enterprise risk management program. The department focuses on the quality of the Company’s risk</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32" w:name="page33"/>
    <w:bookmarkEnd w:id="32"/>
    <w:p>
      <w:pPr>
        <w:jc w:val="both"/>
        <w:spacing w:after="0" w:line="252" w:lineRule="auto"/>
        <w:rPr>
          <w:sz w:val="20"/>
          <w:szCs w:val="20"/>
          <w:color w:val="auto"/>
        </w:rPr>
      </w:pPr>
      <w:r>
        <w:rPr>
          <w:rFonts w:ascii="Times New Roman" w:cs="Times New Roman" w:eastAsia="Times New Roman" w:hAnsi="Times New Roman"/>
          <w:sz w:val="18"/>
          <w:szCs w:val="18"/>
          <w:color w:val="auto"/>
        </w:rPr>
        <w:t>management process in order to manage risks within acceptable tolerance levels. As it pertains to cybersecurity risk, the Risk Department challenges the processes that the information security team has implemented to identify, assess, control and mitigate cybersecurity risk. The department collaborates with the CISO and other business unit owners impacted by our cybersecurity risk management practices to develop and monitor controls and other processes that mitigate identified risks. In addition, the Risk Department conducts independent risk evaluations related to cybersecurity risk.</w:t>
      </w:r>
    </w:p>
    <w:p>
      <w:pPr>
        <w:spacing w:after="0" w:line="13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primary means by which the Risk Department evaluates cybersecurity risk is the development, in conjunction with the information security team, of risk metrics related to cybersecurity as well as risk tolerances with respect to each such metric. Risk tolerances are set such that the overall cybersecurity risk presented to us is consistent with the risk appetite statement adopted by our Board annually. Management believes these metrics provide a holistic picture of the Company’s cybersecurity risk profile, but at the same time, we recognize that, given the continual evolution of cybersecurity risks, including the tools and vectors that bad actors take to compromise a company’s information security, our risk metrics cannot remain static. At least annually, the Risk Department meets with the CISO to assess whether the risk metrics, and the tolerances for each metric, remain appropriate in light of the Company’s operations and the cybersecurity threat environment.</w:t>
      </w:r>
    </w:p>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the third line of defense against cybersecurity risk, our Internal Audit Department, with the assistance of outside experts, annually reviews and tests the Company’s processes, including its policies, procedures and controls, with respect to cybersecurity risk. The Internal Audit Department reports the results of its review, including the steps management intends to take to address any findings, to the Audit Committee of the Board of Directors.</w:t>
      </w:r>
    </w:p>
    <w:p>
      <w:pPr>
        <w:spacing w:after="0" w:line="12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Finally, as a means to ensure that our senior executive management has an integrated understanding of the cybersecurity and other risks facing the Company at any particular time, we have organized a management Enterprise Risk and Compliance Committee (the “ERCC”). Our Chief Risk Officer leads this committee, whose membership includes our Chief Executive Officer and the leaders of our major business lines and back-office functions. Among other things, the ERCC reviews the Company’s cybersecurity and other risk metrics and the direction in which each risk is trending (increasing risk or decreasing risk), both in isolation and in the context of other existing and emerging risks facing the company, and the status of related risk mitigation. We believe that this committee helps management better focus its efforts on minimizing cybersecurity risk and that it assists in more focused reporting of cybersecurity risks to the Board of Directors.</w:t>
      </w:r>
    </w:p>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Board Oversight</w:t>
      </w:r>
      <w:r>
        <w:rPr>
          <w:rFonts w:ascii="Times New Roman" w:cs="Times New Roman" w:eastAsia="Times New Roman" w:hAnsi="Times New Roman"/>
          <w:sz w:val="18"/>
          <w:szCs w:val="18"/>
          <w:color w:val="auto"/>
        </w:rPr>
        <w:t>. The Company’s Board of Directors primarily oversees the risks related to our technological infrastructure, information security, cybersecurity, business continuity and disaster recovery programs through its Technology Committee and the ERM Committee. These committees meet quarterly, and their activities are reported to the full Board of Directors.</w:t>
      </w:r>
    </w:p>
    <w:p>
      <w:pPr>
        <w:spacing w:after="0" w:line="12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The Technology Committee is responsible for the oversight of Renasant’s strategies and operations with respect to information technology. Although this committee’s focus is broader than just information security and cybersecurity risk, at each meeting the CISO reports to the committee on, among other topics, the status of any cybersecurity and network security initiatives designed to enhance the Company’s cybersecurity, emerging cybersecurity risks that may not yet be addressed by the existing risk metrics and management’s plans to mitigate such risks, and employee training on cybersecurity and related issues.</w:t>
      </w:r>
    </w:p>
    <w:p>
      <w:pPr>
        <w:spacing w:after="0" w:line="10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ERM Committee incorporates the assessment, monitoring and mitigation of cybersecurity risk into its monitoring of the Company’s broader enterprise risk management function. The Company tracks numerous risk metrics relating to cybersecurity, and at each meeting of the ERM Committee, the Chief Risk Officer reports on the status within established tolerances of each risk metric as well as the assessment of the metric’s trend of increasing or decreasing risk. These metric reports give the ERM Committee a broad view of the aggregate cybersecurity risk that the Company faces at any particular time, insight into any particular areas of risk as well as an opportunity for the ERM Committee to discuss with management the steps taken or to be taken to address risks that are out of tolerance or trending in that direction. In addition to this report, the CISO’s report to the Technology Committee described above is included in the materials for ERM Committee meetings. The chair of the Technology Committee is a member of the ERM Committee, enabling the chair to convey to the ERM Committee details of the discussions with respect to the CISO’s report as well as other matters related to our technological infrastructure and the impact thereof on matters within the ERM Committee’s focus. Finally, the CISO attends ERM Committee meetings, providing additional detail, and answering committee members’ questions, about the CISO’s report.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6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principal executive offices of the Company are located at 209 Troy Street, Tupelo, Mississippi. Various departments occupy each floor of the five-story building.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2025, Renasant operated 246 full-service branches, 13 limited-service branches, 255 ATMs and 63 Interactive Teller Machines (ITMs).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Community Banks and Wealth Management segments operate out of all of these branches.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33" w:name="page34"/>
    <w:bookmarkEnd w:id="33"/>
    <w:p>
      <w:pPr>
        <w:spacing w:after="0" w:line="268" w:lineRule="auto"/>
        <w:rPr>
          <w:sz w:val="20"/>
          <w:szCs w:val="20"/>
          <w:color w:val="auto"/>
        </w:rPr>
      </w:pPr>
      <w:r>
        <w:rPr>
          <w:rFonts w:ascii="Times New Roman" w:cs="Times New Roman" w:eastAsia="Times New Roman" w:hAnsi="Times New Roman"/>
          <w:sz w:val="18"/>
          <w:szCs w:val="18"/>
          <w:color w:val="auto"/>
        </w:rPr>
        <w:t>The Bank also operates 11 locations used exclusively for mortgage banking and seven locations used exclusively for loan production. The Wealth Management segment operates two locations used exclusively for investment services.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Republic Business Credit, a wholly-owned subsidiary of the Bank, operates four stand-alone offices in California, Illinois, Louisiana and Texas.</w:t>
      </w:r>
    </w:p>
    <w:p>
      <w:pPr>
        <w:spacing w:after="0" w:line="16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We own or lease our facilities and believe all of our properties are in good condition to meet our business needs. None of our properties are subject to any material encumbrances.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6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There are no material pending legal proceedings to which the Company, the Bank, or any of its subsidiaries are a party or to which any of their property is subject, and no such legal proceedings were terminated in the fourth quarter of 2025.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40" w:lineRule="exact"/>
        <w:rPr>
          <w:sz w:val="20"/>
          <w:szCs w:val="20"/>
          <w:color w:val="auto"/>
        </w:rPr>
      </w:pPr>
    </w:p>
    <w:p>
      <w:pPr>
        <w:ind w:right="640"/>
        <w:spacing w:after="0" w:line="271"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and Holders</w:t>
      </w:r>
    </w:p>
    <w:p>
      <w:pPr>
        <w:spacing w:after="0" w:line="16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The Company’s common stock trades on The New York Stock Exchange under the ticker symbol “RNST.” On February 20, 2026, the Company had approximately 5,179 shareholders of record, and the closing sales price of the Company’s common stock was $40.49.</w:t>
      </w:r>
    </w:p>
    <w:p>
      <w:pPr>
        <w:spacing w:after="0" w:line="11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Please refer to Item 12, Security Ownership of Certain Beneficial Owners and Management and Related Stockholder Matters, for a discussion of the securities authorized for issuance under the Company’s equity compensation plans.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9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Total Number of Shares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80" w:type="dxa"/>
            <w:vAlign w:val="bottom"/>
          </w:tcPr>
          <w:p>
            <w:pPr>
              <w:jc w:val="center"/>
              <w:ind w:right="52"/>
              <w:spacing w:after="0" w:line="198" w:lineRule="exact"/>
              <w:rPr>
                <w:sz w:val="20"/>
                <w:szCs w:val="20"/>
                <w:color w:val="auto"/>
              </w:rPr>
            </w:pPr>
            <w:r>
              <w:rPr>
                <w:rFonts w:ascii="Times New Roman" w:cs="Times New Roman" w:eastAsia="Times New Roman" w:hAnsi="Times New Roman"/>
                <w:sz w:val="18"/>
                <w:szCs w:val="18"/>
                <w:b w:val="1"/>
                <w:bCs w:val="1"/>
                <w:color w:val="auto"/>
                <w:w w:val="97"/>
              </w:rPr>
              <w:t>Maximum Number or</w:t>
            </w:r>
          </w:p>
        </w:tc>
        <w:tc>
          <w:tcPr>
            <w:tcW w:w="0" w:type="dxa"/>
            <w:vAlign w:val="bottom"/>
          </w:tcPr>
          <w:p>
            <w:pPr>
              <w:spacing w:after="0"/>
              <w:rPr>
                <w:sz w:val="1"/>
                <w:szCs w:val="1"/>
                <w:color w:val="auto"/>
              </w:rPr>
            </w:pPr>
          </w:p>
        </w:tc>
      </w:tr>
      <w:tr>
        <w:trPr>
          <w:trHeight w:val="184"/>
        </w:trPr>
        <w:tc>
          <w:tcPr>
            <w:tcW w:w="39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3"/>
              </w:rPr>
              <w:t>Average</w:t>
            </w:r>
          </w:p>
        </w:tc>
        <w:tc>
          <w:tcPr>
            <w:tcW w:w="1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6"/>
              </w:rPr>
              <w:t>Approximate Dollar Value of</w:t>
            </w:r>
          </w:p>
        </w:tc>
        <w:tc>
          <w:tcPr>
            <w:tcW w:w="0" w:type="dxa"/>
            <w:vAlign w:val="bottom"/>
          </w:tcPr>
          <w:p>
            <w:pPr>
              <w:spacing w:after="0"/>
              <w:rPr>
                <w:sz w:val="1"/>
                <w:szCs w:val="1"/>
                <w:color w:val="auto"/>
              </w:rPr>
            </w:pPr>
          </w:p>
        </w:tc>
      </w:tr>
      <w:tr>
        <w:trPr>
          <w:trHeight w:val="171"/>
        </w:trPr>
        <w:tc>
          <w:tcPr>
            <w:tcW w:w="3960" w:type="dxa"/>
            <w:vAlign w:val="bottom"/>
          </w:tcPr>
          <w:p>
            <w:pPr>
              <w:spacing w:after="0"/>
              <w:rPr>
                <w:sz w:val="14"/>
                <w:szCs w:val="14"/>
                <w:color w:val="auto"/>
              </w:rPr>
            </w:pPr>
          </w:p>
        </w:tc>
        <w:tc>
          <w:tcPr>
            <w:tcW w:w="18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Total Number of</w:t>
            </w: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980" w:type="dxa"/>
            <w:vAlign w:val="bottom"/>
          </w:tcPr>
          <w:p>
            <w:pPr>
              <w:jc w:val="center"/>
              <w:spacing w:after="0" w:line="171" w:lineRule="exact"/>
              <w:rPr>
                <w:sz w:val="20"/>
                <w:szCs w:val="20"/>
                <w:color w:val="auto"/>
              </w:rPr>
            </w:pPr>
            <w:r>
              <w:rPr>
                <w:rFonts w:ascii="Times New Roman" w:cs="Times New Roman" w:eastAsia="Times New Roman" w:hAnsi="Times New Roman"/>
                <w:sz w:val="18"/>
                <w:szCs w:val="18"/>
                <w:b w:val="1"/>
                <w:bCs w:val="1"/>
                <w:color w:val="auto"/>
                <w:w w:val="96"/>
              </w:rPr>
              <w:t>Purchased as Part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tcPr>
          <w:p>
            <w:pPr>
              <w:jc w:val="center"/>
              <w:ind w:right="52"/>
              <w:spacing w:after="0" w:line="171" w:lineRule="exact"/>
              <w:rPr>
                <w:sz w:val="20"/>
                <w:szCs w:val="20"/>
                <w:color w:val="auto"/>
              </w:rPr>
            </w:pPr>
            <w:r>
              <w:rPr>
                <w:rFonts w:ascii="Times New Roman" w:cs="Times New Roman" w:eastAsia="Times New Roman" w:hAnsi="Times New Roman"/>
                <w:sz w:val="18"/>
                <w:szCs w:val="18"/>
                <w:b w:val="1"/>
                <w:bCs w:val="1"/>
                <w:color w:val="auto"/>
                <w:w w:val="96"/>
              </w:rPr>
              <w:t>Shares That May Yet Be</w:t>
            </w:r>
          </w:p>
        </w:tc>
        <w:tc>
          <w:tcPr>
            <w:tcW w:w="0" w:type="dxa"/>
            <w:vAlign w:val="bottom"/>
          </w:tcPr>
          <w:p>
            <w:pPr>
              <w:spacing w:after="0"/>
              <w:rPr>
                <w:sz w:val="1"/>
                <w:szCs w:val="1"/>
                <w:color w:val="auto"/>
              </w:rPr>
            </w:pPr>
          </w:p>
        </w:tc>
      </w:tr>
      <w:tr>
        <w:trPr>
          <w:trHeight w:val="184"/>
        </w:trPr>
        <w:tc>
          <w:tcPr>
            <w:tcW w:w="3960" w:type="dxa"/>
            <w:vAlign w:val="bottom"/>
          </w:tcPr>
          <w:p>
            <w:pPr>
              <w:spacing w:after="0"/>
              <w:rPr>
                <w:sz w:val="16"/>
                <w:szCs w:val="16"/>
                <w:color w:val="auto"/>
              </w:rPr>
            </w:pPr>
          </w:p>
        </w:tc>
        <w:tc>
          <w:tcPr>
            <w:tcW w:w="1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8"/>
              </w:rPr>
              <w:t>Price Paid</w:t>
            </w:r>
          </w:p>
        </w:tc>
        <w:tc>
          <w:tcPr>
            <w:tcW w:w="19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7"/>
              </w:rPr>
              <w:t>Publicly Announced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80" w:type="dxa"/>
            <w:vAlign w:val="bottom"/>
          </w:tcPr>
          <w:p>
            <w:pPr>
              <w:jc w:val="center"/>
              <w:ind w:right="52"/>
              <w:spacing w:after="0" w:line="184" w:lineRule="exact"/>
              <w:rPr>
                <w:sz w:val="20"/>
                <w:szCs w:val="20"/>
                <w:color w:val="auto"/>
              </w:rPr>
            </w:pPr>
            <w:r>
              <w:rPr>
                <w:rFonts w:ascii="Times New Roman" w:cs="Times New Roman" w:eastAsia="Times New Roman" w:hAnsi="Times New Roman"/>
                <w:sz w:val="18"/>
                <w:szCs w:val="18"/>
                <w:b w:val="1"/>
                <w:bCs w:val="1"/>
                <w:color w:val="auto"/>
                <w:w w:val="96"/>
              </w:rPr>
              <w:t>Purchased Under Share</w:t>
            </w:r>
          </w:p>
        </w:tc>
        <w:tc>
          <w:tcPr>
            <w:tcW w:w="0" w:type="dxa"/>
            <w:vAlign w:val="bottom"/>
          </w:tcPr>
          <w:p>
            <w:pPr>
              <w:spacing w:after="0"/>
              <w:rPr>
                <w:sz w:val="1"/>
                <w:szCs w:val="1"/>
                <w:color w:val="auto"/>
              </w:rPr>
            </w:pPr>
          </w:p>
        </w:tc>
      </w:tr>
      <w:tr>
        <w:trPr>
          <w:trHeight w:val="224"/>
        </w:trPr>
        <w:tc>
          <w:tcPr>
            <w:tcW w:w="3960" w:type="dxa"/>
            <w:vAlign w:val="bottom"/>
          </w:tcPr>
          <w:p>
            <w:pPr>
              <w:spacing w:after="0"/>
              <w:rPr>
                <w:sz w:val="19"/>
                <w:szCs w:val="19"/>
                <w:color w:val="auto"/>
              </w:rPr>
            </w:pPr>
          </w:p>
        </w:tc>
        <w:tc>
          <w:tcPr>
            <w:tcW w:w="1800" w:type="dxa"/>
            <w:vAlign w:val="bottom"/>
            <w:gridSpan w:val="2"/>
          </w:tcPr>
          <w:p>
            <w:pPr>
              <w:jc w:val="center"/>
              <w:ind w:right="100"/>
              <w:spacing w:after="0" w:line="224" w:lineRule="exact"/>
              <w:rPr>
                <w:sz w:val="20"/>
                <w:szCs w:val="20"/>
                <w:color w:val="auto"/>
              </w:rPr>
            </w:pPr>
            <w:r>
              <w:rPr>
                <w:rFonts w:ascii="Times New Roman" w:cs="Times New Roman" w:eastAsia="Times New Roman" w:hAnsi="Times New Roman"/>
                <w:sz w:val="18"/>
                <w:szCs w:val="18"/>
                <w:b w:val="1"/>
                <w:bCs w:val="1"/>
                <w:color w:val="auto"/>
                <w:w w:val="94"/>
              </w:rPr>
              <w:t>Shares Purchased</w:t>
            </w:r>
            <w:r>
              <w:rPr>
                <w:rFonts w:ascii="Times New Roman" w:cs="Times New Roman" w:eastAsia="Times New Roman" w:hAnsi="Times New Roman"/>
                <w:sz w:val="22"/>
                <w:szCs w:val="22"/>
                <w:b w:val="1"/>
                <w:bCs w:val="1"/>
                <w:color w:val="auto"/>
                <w:w w:val="94"/>
                <w:vertAlign w:val="superscript"/>
              </w:rPr>
              <w:t>(1)</w:t>
            </w:r>
          </w:p>
        </w:tc>
        <w:tc>
          <w:tcPr>
            <w:tcW w:w="140" w:type="dxa"/>
            <w:vAlign w:val="bottom"/>
          </w:tcPr>
          <w:p>
            <w:pPr>
              <w:spacing w:after="0"/>
              <w:rPr>
                <w:sz w:val="19"/>
                <w:szCs w:val="19"/>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per Share</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 Repurchase Plans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tcPr>
          <w:p>
            <w:pPr>
              <w:jc w:val="center"/>
              <w:ind w:right="72"/>
              <w:spacing w:after="0" w:line="224" w:lineRule="exact"/>
              <w:rPr>
                <w:sz w:val="20"/>
                <w:szCs w:val="20"/>
                <w:color w:val="auto"/>
              </w:rPr>
            </w:pPr>
            <w:r>
              <w:rPr>
                <w:rFonts w:ascii="Times New Roman" w:cs="Times New Roman" w:eastAsia="Times New Roman" w:hAnsi="Times New Roman"/>
                <w:sz w:val="18"/>
                <w:szCs w:val="18"/>
                <w:b w:val="1"/>
                <w:bCs w:val="1"/>
                <w:color w:val="auto"/>
                <w:w w:val="93"/>
              </w:rPr>
              <w:t>Repurchase Plans</w:t>
            </w:r>
            <w:r>
              <w:rPr>
                <w:rFonts w:ascii="Times New Roman" w:cs="Times New Roman" w:eastAsia="Times New Roman" w:hAnsi="Times New Roman"/>
                <w:sz w:val="22"/>
                <w:szCs w:val="22"/>
                <w:b w:val="1"/>
                <w:bCs w:val="1"/>
                <w:color w:val="auto"/>
                <w:w w:val="93"/>
                <w:vertAlign w:val="superscript"/>
              </w:rPr>
              <w:t>(2)(3)</w:t>
            </w:r>
          </w:p>
        </w:tc>
        <w:tc>
          <w:tcPr>
            <w:tcW w:w="0" w:type="dxa"/>
            <w:vAlign w:val="bottom"/>
          </w:tcPr>
          <w:p>
            <w:pPr>
              <w:spacing w:after="0"/>
              <w:rPr>
                <w:sz w:val="1"/>
                <w:szCs w:val="1"/>
                <w:color w:val="auto"/>
              </w:rPr>
            </w:pPr>
          </w:p>
        </w:tc>
      </w:tr>
      <w:tr>
        <w:trPr>
          <w:trHeight w:val="217"/>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2025 to October 31, 2025</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w:t>
            </w:r>
          </w:p>
        </w:tc>
        <w:tc>
          <w:tcPr>
            <w:tcW w:w="10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224"/>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2025 to November 30, 2025</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388,940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136,807</w:t>
            </w:r>
          </w:p>
        </w:tc>
        <w:tc>
          <w:tcPr>
            <w:tcW w:w="0" w:type="dxa"/>
            <w:vAlign w:val="bottom"/>
          </w:tcPr>
          <w:p>
            <w:pPr>
              <w:spacing w:after="0"/>
              <w:rPr>
                <w:sz w:val="1"/>
                <w:szCs w:val="1"/>
                <w:color w:val="auto"/>
              </w:rPr>
            </w:pPr>
          </w:p>
        </w:tc>
      </w:tr>
      <w:tr>
        <w:trPr>
          <w:trHeight w:val="224"/>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2025 to December 31, 2025</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100" w:type="dxa"/>
            <w:vAlign w:val="bottom"/>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136,807</w:t>
            </w:r>
          </w:p>
        </w:tc>
        <w:tc>
          <w:tcPr>
            <w:tcW w:w="0" w:type="dxa"/>
            <w:vAlign w:val="bottom"/>
          </w:tcPr>
          <w:p>
            <w:pPr>
              <w:spacing w:after="0"/>
              <w:rPr>
                <w:sz w:val="1"/>
                <w:szCs w:val="1"/>
                <w:color w:val="auto"/>
              </w:rPr>
            </w:pPr>
          </w:p>
        </w:tc>
      </w:tr>
      <w:tr>
        <w:trPr>
          <w:trHeight w:val="217"/>
        </w:trPr>
        <w:tc>
          <w:tcPr>
            <w:tcW w:w="3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391,590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34.29</w:t>
            </w:r>
          </w:p>
        </w:tc>
        <w:tc>
          <w:tcPr>
            <w:tcW w:w="100" w:type="dxa"/>
            <w:vAlign w:val="bottom"/>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388,940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960" w:hanging="323"/>
        <w:spacing w:after="0" w:line="269" w:lineRule="auto"/>
        <w:tabs>
          <w:tab w:leader="none" w:pos="9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share amounts in this column not purchased as part of a publicly-announced share repurchase plan (as detailed in footnote (2) below are shares of Renasant Corporation common stock withheld to satisfy the federal and state tax liabilities related to the vesting of time-based restricted stock awards.</w:t>
      </w:r>
    </w:p>
    <w:p>
      <w:pPr>
        <w:spacing w:after="0" w:line="166" w:lineRule="exact"/>
        <w:rPr>
          <w:rFonts w:ascii="Times New Roman" w:cs="Times New Roman" w:eastAsia="Times New Roman" w:hAnsi="Times New Roman"/>
          <w:sz w:val="16"/>
          <w:szCs w:val="16"/>
          <w:color w:val="auto"/>
        </w:rPr>
      </w:pPr>
    </w:p>
    <w:p>
      <w:pPr>
        <w:jc w:val="both"/>
        <w:ind w:left="960" w:hanging="323"/>
        <w:spacing w:after="0" w:line="261" w:lineRule="auto"/>
        <w:tabs>
          <w:tab w:leader="none" w:pos="9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announced a $150.0 million stock repurchase program in October 2025 under which the Company was authorized to repurchase outstanding shares of its common stock either in open market purchases or privately-negotiated transactions, which replaced the Company’s $100.0 million stock repurchase program that expired October 2025. During the fourth quarter of 2025, the Company repurchased 388,940 shares under the program. The program will remain in effect for one year or, if earlier, the repurchase of the entire amount of common stock authorized to be repurchased.</w:t>
      </w:r>
    </w:p>
    <w:p>
      <w:pPr>
        <w:spacing w:after="0" w:line="120" w:lineRule="exact"/>
        <w:rPr>
          <w:rFonts w:ascii="Times New Roman" w:cs="Times New Roman" w:eastAsia="Times New Roman" w:hAnsi="Times New Roman"/>
          <w:sz w:val="16"/>
          <w:szCs w:val="16"/>
          <w:color w:val="auto"/>
        </w:rPr>
      </w:pPr>
    </w:p>
    <w:p>
      <w:pPr>
        <w:ind w:left="960" w:hanging="323"/>
        <w:spacing w:after="0"/>
        <w:tabs>
          <w:tab w:leader="none" w:pos="9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Dollars in thousands.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sell any unregistered equity securities during 2025.</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following performance graph, obtained from S&amp;P Global Market Intelligence, compares the performance of our common stock to the NYSE Composite Index and to the S&amp;P U.S. BMI Banks - Southeast Region Index, which is a peer group of regional bank holding companies (including the Company), for the measurement period. The performance graph assumes that the value of the investment in our common stock, the NYSE Composite Index and the S&amp;P U.S. BMI Banks - Southeast Region Index was $100 at January 1, 2020, and that all dividends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94615</wp:posOffset>
            </wp:positionV>
            <wp:extent cx="5848985" cy="40106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48985" cy="4010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5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Period Ending December 31,</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r>
      <w:tr>
        <w:trPr>
          <w:trHeight w:val="217"/>
        </w:trPr>
        <w:tc>
          <w:tcPr>
            <w:tcW w:w="45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7"/>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Renasant Corporation</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119.25</w:t>
            </w:r>
          </w:p>
        </w:tc>
      </w:tr>
      <w:tr>
        <w:trPr>
          <w:trHeight w:val="22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NYSE Composite Index</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169.62</w:t>
            </w:r>
          </w:p>
        </w:tc>
      </w:tr>
      <w:tr>
        <w:trPr>
          <w:trHeight w:val="224"/>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S&amp;P U.S. BMI Banks - Southeast Region Index</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187.40</w:t>
            </w:r>
          </w:p>
        </w:tc>
      </w:tr>
    </w:tbl>
    <w:p>
      <w:pPr>
        <w:spacing w:after="0" w:line="267" w:lineRule="exact"/>
        <w:rPr>
          <w:sz w:val="20"/>
          <w:szCs w:val="20"/>
          <w:color w:val="auto"/>
        </w:rPr>
      </w:pPr>
    </w:p>
    <w:p>
      <w:pPr>
        <w:ind w:left="360" w:hanging="315"/>
        <w:spacing w:after="0" w:line="287" w:lineRule="auto"/>
        <w:tabs>
          <w:tab w:leader="none" w:pos="35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S&amp;P U.S. BMI Banks - Southeast Region Index, is a peer group of 51 regional bank holding companies, whose common stock is traded either on the New York Stock Exchange, NYSE Amex or NASDAQ, and which are headquartered in Alabama, Arkansas, Florida, Georgia, Mississippi, North Carolina, South Carolina, Tennessee, Virginia and West Virginia.</w:t>
      </w:r>
    </w:p>
    <w:p>
      <w:pPr>
        <w:spacing w:after="0" w:line="119"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There can be no assurance that our common stock performance will continue in the future with the same or similar trends depicted in the performance graph above. We will not make or endorse any predictions as to future stock performance. The information provided under the heading “Stock Performance Graph” shall not be deemed to be “soliciting material” or to be “filed” with the SEC or subject to its proxy regulations or to the liabilities of Section 18 of the Securities Exchange Act of 1934, as amended, other than as provided in Item 201 of Regulation S-K. The information provided in this section shall not be deemed to be incorporated by reference into any filing under the Securities Act of 1933, as amended, or the Securities Exchange Act of 1934, as amended.</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16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as of December 31, 2025 and 2024 and results of operations for each of the years then ended should be read together with the cautionary language regarding forward-looking statements at the beginning of this Annual Report on Form 10-K and the consolidated financial statements and related notes included in Part II, Item 8, Financial Statements and Supplementary Data, of this Annual Report on Form 10-K, as well as Part II, Item 7, Management’s Discussion and Analysis of Financial Condition and Results of Operations, of our Annual Report on Form 10-K for the year ended December 31, 2024, filed with the SEC on February 26, 2025, which provides a discussion of 2023 items and year-to-year comparisons between 2024 and 2023 that are not included in this Annual Report on Form 10-K.</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Overview</w:t>
      </w:r>
    </w:p>
    <w:p>
      <w:pPr>
        <w:spacing w:after="0" w:line="1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Net income was $181,272 for 2025 compared to $195,457 for 2024. Basic and diluted earnings per share (“EPS”) were $2.09 and $2.07, respectively, for 2025 compared to $3.29 and $3.27, respectively, for 2024. At December 31, 2025, total assets increased to $26,751,426 from $18,034,868 at December 31, 2024. The changes in our financial condition and results of operations from 2024 to 2025 were driven by a number of factors, the most prominent of which are highlighted below:</w:t>
      </w:r>
    </w:p>
    <w:p>
      <w:pPr>
        <w:spacing w:after="0" w:line="262" w:lineRule="exact"/>
        <w:rPr>
          <w:sz w:val="20"/>
          <w:szCs w:val="20"/>
          <w:color w:val="auto"/>
        </w:rPr>
      </w:pPr>
    </w:p>
    <w:p>
      <w:pPr>
        <w:ind w:left="480" w:right="40" w:hanging="447"/>
        <w:spacing w:after="0" w:line="256" w:lineRule="auto"/>
        <w:rPr>
          <w:sz w:val="20"/>
          <w:szCs w:val="20"/>
          <w:color w:val="auto"/>
        </w:rPr>
      </w:pPr>
      <w:r>
        <w:rPr>
          <w:rFonts w:ascii="Times New Roman" w:cs="Times New Roman" w:eastAsia="Times New Roman" w:hAnsi="Times New Roman"/>
          <w:sz w:val="18"/>
          <w:szCs w:val="18"/>
          <w:color w:val="auto"/>
        </w:rPr>
        <w:t>— On April 1, 2025, the Company completed its merger with The First. As of the effective date of the merger, The First operated 116 locations throughout Louisiana, Mississippi, Alabama, Georgia and Florida, and had $7,572,811 in assets, $5,173,334 in loans and $6,449,393 in deposits, net of purchase accounting adjustments.</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In October 2025, the Company redeemed $60,000 in subordinated notes assumed as part of the merger with The First.</w:t>
      </w:r>
    </w:p>
    <w:p>
      <w:pPr>
        <w:spacing w:after="0" w:line="214" w:lineRule="exact"/>
        <w:rPr>
          <w:sz w:val="20"/>
          <w:szCs w:val="20"/>
          <w:color w:val="auto"/>
        </w:rPr>
      </w:pPr>
    </w:p>
    <w:p>
      <w:pPr>
        <w:ind w:left="480" w:right="60" w:hanging="447"/>
        <w:spacing w:after="0" w:line="268" w:lineRule="auto"/>
        <w:rPr>
          <w:sz w:val="20"/>
          <w:szCs w:val="20"/>
          <w:color w:val="auto"/>
        </w:rPr>
      </w:pPr>
      <w:r>
        <w:rPr>
          <w:rFonts w:ascii="Times New Roman" w:cs="Times New Roman" w:eastAsia="Times New Roman" w:hAnsi="Times New Roman"/>
          <w:sz w:val="18"/>
          <w:szCs w:val="18"/>
          <w:color w:val="auto"/>
        </w:rPr>
        <w:t>— The Company repurchased, at an average price of $34.29, 388,940 shares of its common stock in the fourth quarter of 2025 as part of its publicly-announced stock repurchase program.</w:t>
      </w:r>
    </w:p>
    <w:p>
      <w:pPr>
        <w:spacing w:after="0" w:line="11" w:lineRule="exact"/>
        <w:rPr>
          <w:sz w:val="20"/>
          <w:szCs w:val="20"/>
          <w:color w:val="auto"/>
        </w:rPr>
      </w:pPr>
    </w:p>
    <w:p>
      <w:pPr>
        <w:ind w:left="480" w:right="40" w:hanging="447"/>
        <w:spacing w:after="0" w:line="268" w:lineRule="auto"/>
        <w:rPr>
          <w:sz w:val="20"/>
          <w:szCs w:val="20"/>
          <w:color w:val="auto"/>
        </w:rPr>
      </w:pPr>
      <w:r>
        <w:rPr>
          <w:rFonts w:ascii="Times New Roman" w:cs="Times New Roman" w:eastAsia="Times New Roman" w:hAnsi="Times New Roman"/>
          <w:sz w:val="18"/>
          <w:szCs w:val="18"/>
          <w:color w:val="auto"/>
        </w:rPr>
        <w:t>— Net interest income increased $291,773 to $803,969 for 2025 as compared to $512,196 for 2024. The increase from 2024 to 2025 was primarily due to the addition of The First’s loan portfolio and strong organic loan growth in 2025.</w:t>
      </w:r>
    </w:p>
    <w:p>
      <w:pPr>
        <w:spacing w:after="0" w:line="169" w:lineRule="exact"/>
        <w:rPr>
          <w:sz w:val="20"/>
          <w:szCs w:val="20"/>
          <w:color w:val="auto"/>
        </w:rPr>
      </w:pPr>
    </w:p>
    <w:p>
      <w:pPr>
        <w:ind w:left="480" w:right="40" w:hanging="447"/>
        <w:spacing w:after="0" w:line="256" w:lineRule="auto"/>
        <w:rPr>
          <w:sz w:val="20"/>
          <w:szCs w:val="20"/>
          <w:color w:val="auto"/>
        </w:rPr>
      </w:pPr>
      <w:r>
        <w:rPr>
          <w:rFonts w:ascii="Times New Roman" w:cs="Times New Roman" w:eastAsia="Times New Roman" w:hAnsi="Times New Roman"/>
          <w:sz w:val="18"/>
          <w:szCs w:val="18"/>
          <w:color w:val="auto"/>
        </w:rPr>
        <w:t>— Net charge-offs as a percentage of average loans were 0.15% and 0.06% in 2025 and 2024, respectively. The Company recorded a provision for credit losses on loans of $107,457 in 2025 as compared to a provision for credit losses on loans of $9,273 in 2024. This increase is primarily due to the Day 1 provision recognized in the merger with The First and strong organic loan growth in 2025.</w:t>
      </w:r>
    </w:p>
    <w:p>
      <w:pPr>
        <w:spacing w:after="0" w:line="179" w:lineRule="exact"/>
        <w:rPr>
          <w:sz w:val="20"/>
          <w:szCs w:val="20"/>
          <w:color w:val="auto"/>
        </w:rPr>
      </w:pPr>
    </w:p>
    <w:p>
      <w:pPr>
        <w:ind w:left="480" w:right="40" w:hanging="447"/>
        <w:spacing w:after="0" w:line="256" w:lineRule="auto"/>
        <w:rPr>
          <w:sz w:val="20"/>
          <w:szCs w:val="20"/>
          <w:color w:val="auto"/>
        </w:rPr>
      </w:pPr>
      <w:r>
        <w:rPr>
          <w:rFonts w:ascii="Times New Roman" w:cs="Times New Roman" w:eastAsia="Times New Roman" w:hAnsi="Times New Roman"/>
          <w:sz w:val="18"/>
          <w:szCs w:val="18"/>
          <w:color w:val="auto"/>
        </w:rPr>
        <w:t>— Noninterest income was $181,880 for 2025 compared to $203,660 for 2024. The decrease in noninterest income is primarily attributable to the elevated level of noninterest income in 2024 from the sale of Renasant Insurance, Inc. that resulted in a pre-tax gross gain on sale of $53,349, offset by fee and other noninterest income generated from the operations acquired in the merger with The First.</w:t>
      </w:r>
    </w:p>
    <w:p>
      <w:pPr>
        <w:spacing w:after="0" w:line="179" w:lineRule="exact"/>
        <w:rPr>
          <w:sz w:val="20"/>
          <w:szCs w:val="20"/>
          <w:color w:val="auto"/>
        </w:rPr>
      </w:pPr>
    </w:p>
    <w:p>
      <w:pPr>
        <w:ind w:left="480" w:right="40" w:hanging="447"/>
        <w:spacing w:after="0" w:line="268" w:lineRule="auto"/>
        <w:rPr>
          <w:sz w:val="20"/>
          <w:szCs w:val="20"/>
          <w:color w:val="auto"/>
        </w:rPr>
      </w:pPr>
      <w:r>
        <w:rPr>
          <w:rFonts w:ascii="Times New Roman" w:cs="Times New Roman" w:eastAsia="Times New Roman" w:hAnsi="Times New Roman"/>
          <w:sz w:val="18"/>
          <w:szCs w:val="18"/>
          <w:color w:val="auto"/>
        </w:rPr>
        <w:t>— Noninterest expense was $651,660 and $461,618 for 2025 and 2024, respectively. The increase in noninterest expense is primarily attributable to the additional operations and merger and conversion-related expenses in connection with the Company’s merger with The First.</w:t>
      </w:r>
    </w:p>
    <w:p>
      <w:pPr>
        <w:spacing w:after="0" w:line="169" w:lineRule="exact"/>
        <w:rPr>
          <w:sz w:val="20"/>
          <w:szCs w:val="20"/>
          <w:color w:val="auto"/>
        </w:rPr>
      </w:pPr>
    </w:p>
    <w:p>
      <w:pPr>
        <w:ind w:left="480" w:right="40" w:hanging="447"/>
        <w:spacing w:after="0" w:line="268" w:lineRule="auto"/>
        <w:rPr>
          <w:sz w:val="20"/>
          <w:szCs w:val="20"/>
          <w:color w:val="auto"/>
        </w:rPr>
      </w:pPr>
      <w:r>
        <w:rPr>
          <w:rFonts w:ascii="Times New Roman" w:cs="Times New Roman" w:eastAsia="Times New Roman" w:hAnsi="Times New Roman"/>
          <w:sz w:val="18"/>
          <w:szCs w:val="18"/>
          <w:color w:val="auto"/>
        </w:rPr>
        <w:t>— Loans held for investment, net of unearned income, were $19,047,039 at December 31, 2025 compared to $12,885,020 at December 31, 2024. The Company acquired $5,173,334 of loans from the merger with The First.</w:t>
      </w:r>
    </w:p>
    <w:p>
      <w:pPr>
        <w:spacing w:after="0" w:line="169" w:lineRule="exact"/>
        <w:rPr>
          <w:sz w:val="20"/>
          <w:szCs w:val="20"/>
          <w:color w:val="auto"/>
        </w:rPr>
      </w:pPr>
    </w:p>
    <w:p>
      <w:pPr>
        <w:ind w:left="480" w:right="40" w:hanging="447"/>
        <w:spacing w:after="0" w:line="268" w:lineRule="auto"/>
        <w:rPr>
          <w:sz w:val="20"/>
          <w:szCs w:val="20"/>
          <w:color w:val="auto"/>
        </w:rPr>
      </w:pPr>
      <w:r>
        <w:rPr>
          <w:rFonts w:ascii="Times New Roman" w:cs="Times New Roman" w:eastAsia="Times New Roman" w:hAnsi="Times New Roman"/>
          <w:sz w:val="18"/>
          <w:szCs w:val="18"/>
          <w:color w:val="auto"/>
        </w:rPr>
        <w:t>— Deposits totaled $21,473,070 at December 31, 2025 compared to $14,572,612 at December 31, 2024. The Company assumed $6,449,393 of deposits from the merger with The First.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28"/>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A historical look at key performance indicators is presented below.</w:t>
            </w: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08"/>
        </w:trPr>
        <w:tc>
          <w:tcPr>
            <w:tcW w:w="580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7"/>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1100" w:type="dxa"/>
            <w:vAlign w:val="bottom"/>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2.56</w:t>
            </w:r>
          </w:p>
        </w:tc>
      </w:tr>
      <w:tr>
        <w:trPr>
          <w:trHeight w:val="224"/>
        </w:trPr>
        <w:tc>
          <w:tcPr>
            <w:tcW w:w="580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Adjusted Diluted EPS</w:t>
            </w:r>
            <w:r>
              <w:rPr>
                <w:rFonts w:ascii="Times New Roman" w:cs="Times New Roman" w:eastAsia="Times New Roman" w:hAnsi="Times New Roman"/>
                <w:sz w:val="22"/>
                <w:szCs w:val="22"/>
                <w:color w:val="auto"/>
                <w:vertAlign w:val="superscript"/>
              </w:rPr>
              <w:t>(1)</w:t>
            </w:r>
          </w:p>
        </w:tc>
        <w:tc>
          <w:tcPr>
            <w:tcW w:w="1100" w:type="dxa"/>
            <w:vAlign w:val="bottom"/>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3.15</w:t>
            </w:r>
          </w:p>
        </w:tc>
      </w:tr>
      <w:tr>
        <w:trPr>
          <w:trHeight w:val="224"/>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Margin</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3.45 %</w:t>
            </w:r>
          </w:p>
        </w:tc>
      </w:tr>
      <w:tr>
        <w:trPr>
          <w:trHeight w:val="224"/>
        </w:trPr>
        <w:tc>
          <w:tcPr>
            <w:tcW w:w="580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Adjusted Net Interest Margin</w:t>
            </w:r>
            <w:r>
              <w:rPr>
                <w:rFonts w:ascii="Times New Roman" w:cs="Times New Roman" w:eastAsia="Times New Roman" w:hAnsi="Times New Roman"/>
                <w:sz w:val="22"/>
                <w:szCs w:val="22"/>
                <w:color w:val="auto"/>
                <w:vertAlign w:val="superscript"/>
              </w:rPr>
              <w:t>(1)</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3.42 %</w:t>
            </w:r>
          </w:p>
        </w:tc>
      </w:tr>
      <w:tr>
        <w:trPr>
          <w:trHeight w:val="224"/>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 to Assets</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14.52 %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13.23 %</w:t>
            </w:r>
          </w:p>
        </w:tc>
      </w:tr>
      <w:tr>
        <w:trPr>
          <w:trHeight w:val="224"/>
        </w:trPr>
        <w:tc>
          <w:tcPr>
            <w:tcW w:w="580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Tangible Shareholders’ Equity to Tangible Assets</w:t>
            </w:r>
            <w:r>
              <w:rPr>
                <w:rFonts w:ascii="Times New Roman" w:cs="Times New Roman" w:eastAsia="Times New Roman" w:hAnsi="Times New Roman"/>
                <w:sz w:val="22"/>
                <w:szCs w:val="22"/>
                <w:color w:val="auto"/>
                <w:vertAlign w:val="superscript"/>
              </w:rPr>
              <w:t>(1)</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7.87 %</w:t>
            </w:r>
          </w:p>
        </w:tc>
      </w:tr>
      <w:tr>
        <w:trPr>
          <w:trHeight w:val="224"/>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Return on Average Assets</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0.84 %</w:t>
            </w:r>
          </w:p>
        </w:tc>
      </w:tr>
      <w:tr>
        <w:trPr>
          <w:trHeight w:val="224"/>
        </w:trPr>
        <w:tc>
          <w:tcPr>
            <w:tcW w:w="580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Adjusted Return on Average Assets</w:t>
            </w:r>
            <w:r>
              <w:rPr>
                <w:rFonts w:ascii="Times New Roman" w:cs="Times New Roman" w:eastAsia="Times New Roman" w:hAnsi="Times New Roman"/>
                <w:sz w:val="22"/>
                <w:szCs w:val="22"/>
                <w:color w:val="auto"/>
                <w:vertAlign w:val="superscript"/>
              </w:rPr>
              <w:t>(1)</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1.03 %</w:t>
            </w:r>
          </w:p>
        </w:tc>
      </w:tr>
      <w:tr>
        <w:trPr>
          <w:trHeight w:val="224"/>
        </w:trPr>
        <w:tc>
          <w:tcPr>
            <w:tcW w:w="580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Return on Average Tangible Assets</w:t>
            </w:r>
            <w:r>
              <w:rPr>
                <w:rFonts w:ascii="Times New Roman" w:cs="Times New Roman" w:eastAsia="Times New Roman" w:hAnsi="Times New Roman"/>
                <w:sz w:val="22"/>
                <w:szCs w:val="22"/>
                <w:color w:val="auto"/>
                <w:vertAlign w:val="superscript"/>
              </w:rPr>
              <w:t>(1)</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0.92 %</w:t>
            </w:r>
          </w:p>
        </w:tc>
      </w:tr>
      <w:tr>
        <w:trPr>
          <w:trHeight w:val="224"/>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Return on Average Shareholders’ Equity</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r>
      <w:tr>
        <w:trPr>
          <w:trHeight w:val="224"/>
        </w:trPr>
        <w:tc>
          <w:tcPr>
            <w:tcW w:w="580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Return on Average Tangible Common Equity</w:t>
            </w:r>
            <w:r>
              <w:rPr>
                <w:rFonts w:ascii="Times New Roman" w:cs="Times New Roman" w:eastAsia="Times New Roman" w:hAnsi="Times New Roman"/>
                <w:sz w:val="22"/>
                <w:szCs w:val="22"/>
                <w:color w:val="auto"/>
                <w:vertAlign w:val="superscript"/>
              </w:rPr>
              <w:t>(1)</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12.29 %</w:t>
            </w:r>
          </w:p>
        </w:tc>
      </w:tr>
      <w:tr>
        <w:trPr>
          <w:trHeight w:val="224"/>
        </w:trPr>
        <w:tc>
          <w:tcPr>
            <w:tcW w:w="580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Adjusted Return on Average Tangible Common Equity</w:t>
            </w:r>
            <w:r>
              <w:rPr>
                <w:rFonts w:ascii="Times New Roman" w:cs="Times New Roman" w:eastAsia="Times New Roman" w:hAnsi="Times New Roman"/>
                <w:sz w:val="22"/>
                <w:szCs w:val="22"/>
                <w:color w:val="auto"/>
                <w:vertAlign w:val="superscript"/>
              </w:rPr>
              <w:t>(1)</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13.79 %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15.02 %</w:t>
            </w:r>
          </w:p>
        </w:tc>
      </w:tr>
      <w:tr>
        <w:trPr>
          <w:trHeight w:val="224"/>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Efficiency Ratio</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65.00 %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63.57 %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68.33 %</w:t>
            </w:r>
          </w:p>
        </w:tc>
      </w:tr>
      <w:tr>
        <w:trPr>
          <w:trHeight w:val="30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Efficiency Ratio</w:t>
            </w:r>
            <w:r>
              <w:rPr>
                <w:rFonts w:ascii="Times New Roman" w:cs="Times New Roman" w:eastAsia="Times New Roman" w:hAnsi="Times New Roman"/>
                <w:sz w:val="22"/>
                <w:szCs w:val="22"/>
                <w:color w:val="auto"/>
                <w:vertAlign w:val="superscript"/>
              </w:rPr>
              <w:t>(1)</w:t>
            </w:r>
          </w:p>
        </w:tc>
        <w:tc>
          <w:tcPr>
            <w:tcW w:w="1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57.46 %</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66.30 %</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63.48 %</w:t>
            </w:r>
          </w:p>
        </w:tc>
      </w:tr>
    </w:tbl>
    <w:p>
      <w:pPr>
        <w:jc w:val="both"/>
        <w:ind w:left="320" w:hanging="236"/>
        <w:spacing w:after="0" w:line="256" w:lineRule="auto"/>
        <w:tabs>
          <w:tab w:leader="none" w:pos="285"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performance indicators are non-GAAP financial measures. A reconciliation of these financial measures from GAAP to non-GAAP as well as an explanation of why the Company provides these non-GAAP financial measures can be found under the “Non-GAAP Financial Measures” heading at the end of this Item 7, Management’s Discussion and Analysis of Financial Condition and Results of Operations.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6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Our financial statements are prepared using accounting estimates for various accounts. Wherever feasible, we utilize third-party information to provide management with estimates. Although independent third parties are engaged to assist us in the estimation process, management evaluates the results, challenges assumptions and considers other factors that could impact these estimates. We monitor the status of proposed and newly issued accounting standards to evaluate the impact (or potential impact) on our financial condition and results of operations or on the preparation of our financial statements. Our accounting policies, including the impact of newly issued accounting standards, are discussed in detail in Note 1, “Significant Accounting Policies,” in the Notes to Consolidated Financial Statements in Item 8, Financial Statements and Supplementary Data, in this report. The following discussion supplements the discussion of our significant accounting policies in the financial statements.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 on Loans</w:t>
      </w:r>
    </w:p>
    <w:p>
      <w:pPr>
        <w:spacing w:after="0" w:line="16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The allowance for credit losses and the related provision for credit losses is the accounting estimate most important to the presentation of our financial statements that involves considerable subjective judgment and evaluation by management. The allowance for credit losses is an estimate of expected losses inherent within the Company’s loans held for investment portfolio and is maintained at a level believed adequate by management to absorb such expected credit losses, as prescribed by the Financial Accounting Standards Board (“FASB”) Accounting Standards Codification Topic (“ASC”) 326, </w:t>
      </w:r>
      <w:r>
        <w:rPr>
          <w:rFonts w:ascii="Times New Roman" w:cs="Times New Roman" w:eastAsia="Times New Roman" w:hAnsi="Times New Roman"/>
          <w:sz w:val="18"/>
          <w:szCs w:val="18"/>
          <w:i w:val="1"/>
          <w:iCs w:val="1"/>
          <w:color w:val="auto"/>
        </w:rPr>
        <w:t>“Financial Instruments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Credit Losses” </w:t>
      </w:r>
      <w:r>
        <w:rPr>
          <w:rFonts w:ascii="Times New Roman" w:cs="Times New Roman" w:eastAsia="Times New Roman" w:hAnsi="Times New Roman"/>
          <w:sz w:val="18"/>
          <w:szCs w:val="18"/>
          <w:color w:val="auto"/>
        </w:rPr>
        <w:t>(“ASC 326”; ASC 326 is also referred to herein as “CECL”). The discussion under the heading “Loans and the Allowance for Credit Losses”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 1, “Significant Accounting Policies,” in the Notes to Consolidated Financial Statements in Item 8, Financial Statements and Supplementary Data, in this report provides more information regarding the estimates and assumptions, and the uncertainties underlying such estimates and assumptions, involved in the calculation of the allowance for credit losses. Although we consider all reasonably-available information that we believe is relevant to making the assumptions that underlie the Company’s determination of the appropriate amount of the allowance for credit losses, if actual economic or other conditions ultimately differ substantially from the assumptions we used in making the evaluation, then future adjustments (positive or negative) to the allowance may be necessary, although it is difficult to quantify within any degree of precision the extent of the adjustment that may be necessary if actual conditions vary from our assumptions. Additionally, banking regulators periodically review our allowance for credit losses and may require us to recognize adjustments to the allowance based on their subjective judgment of information available to them at the time of their examination. Management evaluates the adequacy of the allowance for credit losses on a quarterly basis.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more information about our loan policies and procedures for addressing credit risk, as well as for a discussion of the changes in the allowance for credit losses in 2025 and 2024, please refer to the disclosures in this Item under the heading “Risk Management – Credit Risk and Allowance for Credit Losses for Loans and Unfunded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color w:val="auto"/>
        </w:rPr>
        <w:t>Business Combinations, Accounting for Purchased Loans</w:t>
      </w:r>
    </w:p>
    <w:p>
      <w:pPr>
        <w:spacing w:after="0" w:line="16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The Company accounts for its acquisitions under ASC 805, “</w:t>
      </w:r>
      <w:r>
        <w:rPr>
          <w:rFonts w:ascii="Times New Roman" w:cs="Times New Roman" w:eastAsia="Times New Roman" w:hAnsi="Times New Roman"/>
          <w:sz w:val="16"/>
          <w:szCs w:val="16"/>
          <w:i w:val="1"/>
          <w:iCs w:val="1"/>
          <w:color w:val="auto"/>
        </w:rPr>
        <w:t>Business Combinations</w:t>
      </w:r>
      <w:r>
        <w:rPr>
          <w:rFonts w:ascii="Times New Roman" w:cs="Times New Roman" w:eastAsia="Times New Roman" w:hAnsi="Times New Roman"/>
          <w:sz w:val="16"/>
          <w:szCs w:val="16"/>
          <w:color w:val="auto"/>
        </w:rPr>
        <w:t>,” which requires the use of the acquisition method of accounting. For more information about the accounting for acquisitions, including the estimates and assumptions, and uncertainties underlying such estimates and assumptions, please refer to the information under the heading “Business Combinations, Accounting for Purchased Credit Deteriorated Loans and Related Assets” in Note 1, “Significant Accounting Policies,” in the Notes to Consolidated Financial Statements in Item 8, Financial Statements and Supplementary Data, in this report.</w:t>
      </w:r>
    </w:p>
    <w:p>
      <w:pPr>
        <w:spacing w:after="0" w:line="101" w:lineRule="exact"/>
        <w:rPr>
          <w:sz w:val="20"/>
          <w:szCs w:val="20"/>
          <w:color w:val="auto"/>
        </w:rPr>
      </w:pPr>
    </w:p>
    <w:p>
      <w:pPr>
        <w:ind w:right="740"/>
        <w:spacing w:after="0" w:line="268" w:lineRule="auto"/>
        <w:rPr>
          <w:sz w:val="20"/>
          <w:szCs w:val="20"/>
          <w:color w:val="auto"/>
        </w:rPr>
      </w:pPr>
      <w:r>
        <w:rPr>
          <w:rFonts w:ascii="Times New Roman" w:cs="Times New Roman" w:eastAsia="Times New Roman" w:hAnsi="Times New Roman"/>
          <w:sz w:val="18"/>
          <w:szCs w:val="18"/>
          <w:color w:val="auto"/>
        </w:rPr>
        <w:t>Additional details about loans acquired in connection with our acquisitions is set forth below under the heading “Risk Management – Credit Risk and Allowance for Credit Losses for Loans and Unfunded Commitments.”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1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discussion provides details regarding the changes in significant balance sheet accounts at December 31, 2025 compared to December 31, 2024. Total assets were $26,751,426 at December 31, 2025 compared to $18,034,868 at December 31, 2024. The acquisition of The First increased total assets by $7,572,811 at April 1, 2025.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Mergers and Acquisitions</w:t>
      </w:r>
    </w:p>
    <w:p>
      <w:pPr>
        <w:spacing w:after="0" w:line="1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April 1, 2025 the Company completed its merger with The First. At closing, The First merged with and into the Company, with the Company the surviving corporation in the merger; immediately thereafter, The First Bank merged with and into Renasant Bank, with Renasant Bank the surviving banking corporation in the merger. For more information, including the fair value of assets acquired and liabilities assumed, see Note 2, “Mergers and Acquisitions,” in the Notes to Consolidated Financial Statements in Item 8, Financial Statements and Supplementary Data, in this report.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w:t>
      </w:r>
    </w:p>
    <w:p>
      <w:pPr>
        <w:spacing w:after="0" w:line="1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securities portfolio is used to provide a source for meeting liquidity needs and to supply securities to be used in collateralizing certain deposits and other types of borrowings. The securities portfolio also serves as an outlet to deploy excess liquidity rather than hold such excess funds as cash. The following table shows the carrying value of our securities portfolio by investment type and the percentage of such investment type relative to the entire securities portfolio at December 31: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5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3"/>
            <w:vMerge w:val="restart"/>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140" w:type="dxa"/>
            <w:vAlign w:val="bottom"/>
          </w:tcPr>
          <w:p>
            <w:pPr>
              <w:jc w:val="center"/>
              <w:ind w:right="192"/>
              <w:spacing w:after="0" w:line="164" w:lineRule="exact"/>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3"/>
            <w:vMerge w:val="restart"/>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140" w:type="dxa"/>
            <w:vAlign w:val="bottom"/>
          </w:tcPr>
          <w:p>
            <w:pPr>
              <w:jc w:val="right"/>
              <w:ind w:right="432"/>
              <w:spacing w:after="0" w:line="164" w:lineRule="exact"/>
              <w:rPr>
                <w:sz w:val="20"/>
                <w:szCs w:val="20"/>
                <w:color w:val="auto"/>
              </w:rPr>
            </w:pPr>
            <w:r>
              <w:rPr>
                <w:rFonts w:ascii="Times New Roman" w:cs="Times New Roman" w:eastAsia="Times New Roman" w:hAnsi="Times New Roman"/>
                <w:sz w:val="18"/>
                <w:szCs w:val="18"/>
                <w:b w:val="1"/>
                <w:bCs w:val="1"/>
                <w:color w:val="auto"/>
              </w:rPr>
              <w:t>% of</w:t>
            </w:r>
          </w:p>
        </w:tc>
        <w:tc>
          <w:tcPr>
            <w:tcW w:w="0" w:type="dxa"/>
            <w:vAlign w:val="bottom"/>
          </w:tcPr>
          <w:p>
            <w:pPr>
              <w:spacing w:after="0"/>
              <w:rPr>
                <w:sz w:val="1"/>
                <w:szCs w:val="1"/>
                <w:color w:val="auto"/>
              </w:rPr>
            </w:pPr>
          </w:p>
        </w:tc>
      </w:tr>
      <w:tr>
        <w:trPr>
          <w:trHeight w:val="237"/>
        </w:trPr>
        <w:tc>
          <w:tcPr>
            <w:tcW w:w="5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3"/>
            <w:vMerge w:val="continue"/>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Portfolio</w:t>
            </w:r>
          </w:p>
        </w:tc>
        <w:tc>
          <w:tcPr>
            <w:tcW w:w="240" w:type="dxa"/>
            <w:vAlign w:val="bottom"/>
          </w:tcPr>
          <w:p>
            <w:pPr>
              <w:spacing w:after="0"/>
              <w:rPr>
                <w:sz w:val="20"/>
                <w:szCs w:val="20"/>
                <w:color w:val="auto"/>
              </w:rPr>
            </w:pPr>
          </w:p>
        </w:tc>
        <w:tc>
          <w:tcPr>
            <w:tcW w:w="1440" w:type="dxa"/>
            <w:vAlign w:val="bottom"/>
            <w:gridSpan w:val="3"/>
            <w:vMerge w:val="continue"/>
          </w:tcPr>
          <w:p>
            <w:pPr>
              <w:spacing w:after="0"/>
              <w:rPr>
                <w:sz w:val="20"/>
                <w:szCs w:val="20"/>
                <w:color w:val="auto"/>
              </w:rPr>
            </w:pPr>
          </w:p>
        </w:tc>
        <w:tc>
          <w:tcPr>
            <w:tcW w:w="114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Portfolio</w:t>
            </w:r>
          </w:p>
        </w:tc>
        <w:tc>
          <w:tcPr>
            <w:tcW w:w="0" w:type="dxa"/>
            <w:vAlign w:val="bottom"/>
          </w:tcPr>
          <w:p>
            <w:pPr>
              <w:spacing w:after="0"/>
              <w:rPr>
                <w:sz w:val="1"/>
                <w:szCs w:val="1"/>
                <w:color w:val="auto"/>
              </w:rPr>
            </w:pPr>
          </w:p>
        </w:tc>
      </w:tr>
      <w:tr>
        <w:trPr>
          <w:trHeight w:val="217"/>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552,209</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302,596</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15.46</w:t>
            </w:r>
          </w:p>
        </w:tc>
        <w:tc>
          <w:tcPr>
            <w:tcW w:w="0" w:type="dxa"/>
            <w:vAlign w:val="bottom"/>
          </w:tcPr>
          <w:p>
            <w:pPr>
              <w:spacing w:after="0"/>
              <w:rPr>
                <w:sz w:val="1"/>
                <w:szCs w:val="1"/>
                <w:color w:val="auto"/>
              </w:rPr>
            </w:pPr>
          </w:p>
        </w:tc>
      </w:tr>
      <w:tr>
        <w:trPr>
          <w:trHeight w:val="224"/>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2,642,946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73.60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1,472,918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75.26</w:t>
            </w:r>
          </w:p>
        </w:tc>
        <w:tc>
          <w:tcPr>
            <w:tcW w:w="0" w:type="dxa"/>
            <w:vAlign w:val="bottom"/>
          </w:tcPr>
          <w:p>
            <w:pPr>
              <w:spacing w:after="0"/>
              <w:rPr>
                <w:sz w:val="1"/>
                <w:szCs w:val="1"/>
                <w:color w:val="auto"/>
              </w:rPr>
            </w:pPr>
          </w:p>
        </w:tc>
      </w:tr>
      <w:tr>
        <w:trPr>
          <w:trHeight w:val="224"/>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debt securities</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395,768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11.02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181,643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9.28</w:t>
            </w:r>
          </w:p>
        </w:tc>
        <w:tc>
          <w:tcPr>
            <w:tcW w:w="0" w:type="dxa"/>
            <w:vAlign w:val="bottom"/>
          </w:tcPr>
          <w:p>
            <w:pPr>
              <w:spacing w:after="0"/>
              <w:rPr>
                <w:sz w:val="1"/>
                <w:szCs w:val="1"/>
                <w:color w:val="auto"/>
              </w:rPr>
            </w:pPr>
          </w:p>
        </w:tc>
      </w:tr>
      <w:tr>
        <w:trPr>
          <w:trHeight w:val="217"/>
        </w:trPr>
        <w:tc>
          <w:tcPr>
            <w:tcW w:w="5500" w:type="dxa"/>
            <w:vAlign w:val="bottom"/>
          </w:tcPr>
          <w:p>
            <w:pPr>
              <w:spacing w:after="0"/>
              <w:rPr>
                <w:sz w:val="18"/>
                <w:szCs w:val="18"/>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3,590,923</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1,957,157</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 - held to maturity securities</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net of allowance for credit losses</w:t>
            </w: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3,590,891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1,957,125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During 2025, the Company acquired $1,457,377 in investment securities in connection with its merger with The First. Investment securities purchased during 2025 totaled $1,201,061, which was funded partly by the sale and reinvestment of $686,485 of securities acquired in the merger, and the remainder by the reinvestment of cash flows from securities. Mortgage-backed securities and collateralized mortgage obligations (“CMOs”), in the aggregate, comprised the majority of such purchases. CMOs are included in the “Mortgage-backed securities” line item in the above table. The mortgage-backed securities and CMOs held in our investment portfolio are issued by government sponsored entities. Proceeds from the sale of securities in 2025 total $686,485, all of which reflects proceeds from the sale of a portion of the securities portfolio acquired in the acquisition of The First, which were sold at carrying value. During 2025, proceeds from maturities and calls of securities totaled $413,319, and such proceeds were primarily used to fund loan growth.</w:t>
      </w:r>
    </w:p>
    <w:p>
      <w:pPr>
        <w:spacing w:after="0" w:line="13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During 2024, we purchased $174,229 in investment securities, with mortgage-backed securities and CMOs, in the aggregate, comprising the majority of such purchases. Proceeds from the sale of securities in 2024 totaled $177,185, which the Company had the intent to sell as of December 31, 2023, and therefore recognized a non-credit related impairment loss of $19,352 in 2023 in addition to losses on sales of securities earlier in the year of $22,438. Proceeds from maturities and calls of securities during 2024 totaled $191,008, which were primarily reinvested in the securities portfolio or used to fund loan growth.</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39" w:name="page40"/>
    <w:bookmarkEnd w:id="39"/>
    <w:p>
      <w:pPr>
        <w:jc w:val="both"/>
        <w:spacing w:after="0" w:line="252" w:lineRule="auto"/>
        <w:rPr>
          <w:sz w:val="20"/>
          <w:szCs w:val="20"/>
          <w:color w:val="auto"/>
        </w:rPr>
      </w:pPr>
      <w:r>
        <w:rPr>
          <w:rFonts w:ascii="Times New Roman" w:cs="Times New Roman" w:eastAsia="Times New Roman" w:hAnsi="Times New Roman"/>
          <w:sz w:val="18"/>
          <w:szCs w:val="18"/>
          <w:color w:val="auto"/>
        </w:rPr>
        <w:t>In 2022, the Company transferred, at fair value, $882,927 of securities from the available for sale portfolio to the held to maturity portfolio. The related net unrealized losses of $99,675 ($74,307 after tax) remained in accumulated other comprehensive income (loss) and will be amortized over the remaining life of the securities, offsetting the related amortization of discount on the transferred securities. At December 31, 2025, the net unrealized after tax losses remaining to be amortized in accumulated other comprehensive income (loss) was $40,435.</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allowance for credit losses on held to maturity securities is evaluated on a quarterly basis. Expected credit losses on debt securities classified as held to maturity are measured on a collective basis by major security type. The estimates of expected credit losses are based on historical default rates, investment grades, current conditions, and reasonable and supportable forecasts about the future. At December 31, 2025 and 2024, the allowance for credit losses on held to maturity securities was $32.</w:t>
      </w:r>
    </w:p>
    <w:p>
      <w:pPr>
        <w:spacing w:after="0" w:line="13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At December 31, 2025, unrealized losses of $96,559 were recorded on available for sale investment securities with a carrying value of $1,051,213. At December 31, 2024, unrealized losses of $138,608 were recorded on available for sale securities with a carrying value of $701,844. It is not more likely than not that the Company will be required to sell any security in the investment portfolio prior to the recovery of its amortized cost basis, which may be maturity. Furthermore, more than 90% of available for sale securities have the explicit or implicit backing of the United States government or a guarantee from a government sponsored entity that has perceived credit risk the same as the United States government. Performance of these securities has been in line with broader market price performance, indicating to management that increases in market-based, risk free rates, and not credit-related factors, are the reason for the losses. For municipal and corporate securities, the Company considers historical experience with credit sensitive securities, current market conditions, the financial health of the issuer, current credit ratings, ratings changes and outlook, explicit and implicit guarantees, and/or insurance programs when determining the fair value of the contractual cash flows. Based on its review of these factors as of December 31, 2025 and 2024, the Company determined that all such losses resulted from factors not deemed credit related. As a result, no credit-related impairment was recognized in current earnings, and all unrealized losses for available for sale securities were recorded in Accumulated other comprehensive income (loss).</w:t>
      </w:r>
    </w:p>
    <w:p>
      <w:pPr>
        <w:spacing w:after="0" w:line="140" w:lineRule="exact"/>
        <w:rPr>
          <w:sz w:val="20"/>
          <w:szCs w:val="20"/>
          <w:color w:val="auto"/>
        </w:rPr>
      </w:pPr>
    </w:p>
    <w:p>
      <w:pPr>
        <w:ind w:right="740"/>
        <w:spacing w:after="0" w:line="268" w:lineRule="auto"/>
        <w:rPr>
          <w:sz w:val="20"/>
          <w:szCs w:val="20"/>
          <w:color w:val="auto"/>
        </w:rPr>
      </w:pPr>
      <w:r>
        <w:rPr>
          <w:rFonts w:ascii="Times New Roman" w:cs="Times New Roman" w:eastAsia="Times New Roman" w:hAnsi="Times New Roman"/>
          <w:sz w:val="18"/>
          <w:szCs w:val="18"/>
          <w:color w:val="auto"/>
        </w:rPr>
        <w:t>The following table sets forth the scheduled maturity distribution and weighted average yield based on the amortized cost of the debt securities in our investment portfolio as of December 31, 2025.</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1"/>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640" w:type="dxa"/>
            <w:vAlign w:val="bottom"/>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Yield</w:t>
            </w:r>
          </w:p>
        </w:tc>
      </w:tr>
      <w:tr>
        <w:trPr>
          <w:trHeight w:val="204"/>
        </w:trPr>
        <w:tc>
          <w:tcPr>
            <w:tcW w:w="8000" w:type="dxa"/>
            <w:vAlign w:val="bottom"/>
            <w:tcBorders>
              <w:top w:val="single" w:sz="8" w:color="CCEEFF"/>
            </w:tcBorders>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Held to Maturity:</w:t>
            </w: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r>
      <w:tr>
        <w:trPr>
          <w:trHeight w:val="22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4"/>
        </w:trPr>
        <w:tc>
          <w:tcPr>
            <w:tcW w:w="8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Maturing within one year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6.05 %</w:t>
            </w:r>
          </w:p>
        </w:tc>
      </w:tr>
      <w:tr>
        <w:trPr>
          <w:trHeight w:val="224"/>
        </w:trPr>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Maturing after one year through five years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9,734</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0.90 %</w:t>
            </w:r>
          </w:p>
        </w:tc>
      </w:tr>
      <w:tr>
        <w:trPr>
          <w:trHeight w:val="224"/>
        </w:trPr>
        <w:tc>
          <w:tcPr>
            <w:tcW w:w="8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Maturing after five years through ten years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179,864</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1.66 %</w:t>
            </w:r>
          </w:p>
        </w:tc>
      </w:tr>
      <w:tr>
        <w:trPr>
          <w:trHeight w:val="224"/>
        </w:trPr>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Maturing after ten years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89,611</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1.90 %</w:t>
            </w:r>
          </w:p>
        </w:tc>
      </w:tr>
      <w:tr>
        <w:trPr>
          <w:trHeight w:val="22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mortgage-backed securities not due at a single maturity date:</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4"/>
        </w:trPr>
        <w:tc>
          <w:tcPr>
            <w:tcW w:w="8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323,993</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1.88 %</w:t>
            </w:r>
          </w:p>
        </w:tc>
      </w:tr>
      <w:tr>
        <w:trPr>
          <w:trHeight w:val="224"/>
        </w:trPr>
        <w:tc>
          <w:tcPr>
            <w:tcW w:w="8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320,258</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1.87 %</w:t>
            </w:r>
          </w:p>
        </w:tc>
      </w:tr>
      <w:tr>
        <w:trPr>
          <w:trHeight w:val="22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mortgage-backed securities not due at a single maturity date:</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4"/>
        </w:trPr>
        <w:tc>
          <w:tcPr>
            <w:tcW w:w="8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16,938</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1.80 %</w:t>
            </w:r>
          </w:p>
        </w:tc>
      </w:tr>
      <w:tr>
        <w:trPr>
          <w:trHeight w:val="224"/>
        </w:trPr>
        <w:tc>
          <w:tcPr>
            <w:tcW w:w="8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42,079</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1.75 %</w:t>
            </w:r>
          </w:p>
        </w:tc>
      </w:tr>
      <w:tr>
        <w:trPr>
          <w:trHeight w:val="22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debt securities not due at a single maturity date:</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47,413</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2.70 %</w:t>
            </w:r>
          </w:p>
        </w:tc>
      </w:tr>
      <w:tr>
        <w:trPr>
          <w:trHeight w:val="22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4"/>
        </w:trPr>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Maturing within one year or less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10,323</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4.56 %</w:t>
            </w:r>
          </w:p>
        </w:tc>
      </w:tr>
      <w:tr>
        <w:trPr>
          <w:trHeight w:val="224"/>
        </w:trPr>
        <w:tc>
          <w:tcPr>
            <w:tcW w:w="8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Maturing after one year through five years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48,582</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4.92 %</w:t>
            </w:r>
          </w:p>
        </w:tc>
      </w:tr>
      <w:tr>
        <w:trPr>
          <w:trHeight w:val="224"/>
        </w:trPr>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Maturing after five years through ten years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101,856</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4.36 %</w:t>
            </w:r>
          </w:p>
        </w:tc>
      </w:tr>
      <w:tr>
        <w:trPr>
          <w:trHeight w:val="224"/>
        </w:trPr>
        <w:tc>
          <w:tcPr>
            <w:tcW w:w="8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Maturing after ten years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105,792</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5.29 %</w:t>
            </w:r>
          </w:p>
        </w:tc>
      </w:tr>
      <w:tr>
        <w:trPr>
          <w:trHeight w:val="22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debt securities</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4"/>
        </w:trPr>
        <w:tc>
          <w:tcPr>
            <w:tcW w:w="8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Maturing within one year or less</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4"/>
        </w:trPr>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Maturing after one year through five years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23,643</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5.73 %</w:t>
            </w:r>
          </w:p>
        </w:tc>
      </w:tr>
      <w:tr>
        <w:trPr>
          <w:trHeight w:val="224"/>
        </w:trPr>
        <w:tc>
          <w:tcPr>
            <w:tcW w:w="8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Maturing after five years through ten years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26,151</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5.55 %</w:t>
            </w:r>
          </w:p>
        </w:tc>
      </w:tr>
      <w:tr>
        <w:trPr>
          <w:trHeight w:val="224"/>
        </w:trPr>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Maturing after ten years</w:t>
            </w:r>
          </w:p>
        </w:tc>
        <w:tc>
          <w:tcPr>
            <w:tcW w:w="1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mortgage-backed securities not due at a single maturity date:</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4"/>
        </w:trPr>
        <w:tc>
          <w:tcPr>
            <w:tcW w:w="8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793,154</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4.21 %</w:t>
            </w:r>
          </w:p>
        </w:tc>
      </w:tr>
      <w:tr>
        <w:trPr>
          <w:trHeight w:val="224"/>
        </w:trPr>
        <w:tc>
          <w:tcPr>
            <w:tcW w:w="8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706,986</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3.19 %</w:t>
            </w:r>
          </w:p>
        </w:tc>
      </w:tr>
      <w:tr>
        <w:trPr>
          <w:trHeight w:val="22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mortgage-backed securities not due at a single maturity date:</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4"/>
        </w:trPr>
        <w:tc>
          <w:tcPr>
            <w:tcW w:w="8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100,314</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4.30 %</w:t>
            </w:r>
          </w:p>
        </w:tc>
      </w:tr>
      <w:tr>
        <w:trPr>
          <w:trHeight w:val="224"/>
        </w:trPr>
        <w:tc>
          <w:tcPr>
            <w:tcW w:w="8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419,356</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3.39 %</w:t>
            </w:r>
          </w:p>
        </w:tc>
      </w:tr>
      <w:tr>
        <w:trPr>
          <w:trHeight w:val="22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debt securities not due at a single maturity date:</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299,338</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3.87 %</w:t>
            </w:r>
          </w:p>
        </w:tc>
      </w:tr>
      <w:tr>
        <w:trPr>
          <w:trHeight w:val="217"/>
        </w:trPr>
        <w:tc>
          <w:tcPr>
            <w:tcW w:w="80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3,665,600</w:t>
            </w:r>
          </w:p>
        </w:tc>
        <w:tc>
          <w:tcPr>
            <w:tcW w:w="10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3.35 %</w:t>
            </w:r>
          </w:p>
        </w:tc>
      </w:tr>
      <w:tr>
        <w:trPr>
          <w:trHeight w:val="20"/>
        </w:trPr>
        <w:tc>
          <w:tcPr>
            <w:tcW w:w="8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the table above, weighted average yields on tax-exempt obligations have been computed on a fully tax equivalent basis assuming a federal tax rate of 21%.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yields were calculated using coupon interest for December 2025, adjusted for discount accretion and premium amortization, where applicable.</w:t>
      </w:r>
    </w:p>
    <w:p>
      <w:pPr>
        <w:spacing w:after="0" w:line="14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For more information about the Company’s securities, see Note 3, “Securities,” in the Notes to Consolidated Financial Statements in Item 8, Financial Statements and Supplementary Data, in this report.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Held for Sale</w:t>
      </w:r>
    </w:p>
    <w:p>
      <w:pPr>
        <w:spacing w:after="0" w:line="16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Loans held for sale were $265,959 at December 31, 2025 compared to $246,171 at December 31, 2024. Mortgage loans to be sold, which made up all of our loans held for sale at each of December 31, 2025 and 2024, are sold either on a “best efforts” basis or under a “mandatory delivery” sales agreement. Under a “best efforts” sales agreement, residential real estate originations are locked in at a contractual rate with third party private investors or directly with government sponsored entities, and the Company is obligated to sell the mortgages to such investors only if the mortgages are closed and funded. The risk we assume is conditioned upon loan underwriting and market conditions in the national mortgage market. Under a “mandatory delivery” sales agreement, the Company commits to deliver a certain principal amount of mortgage loans to an investor at a</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41" w:name="page42"/>
    <w:bookmarkEnd w:id="41"/>
    <w:p>
      <w:pPr>
        <w:jc w:val="both"/>
        <w:spacing w:after="0" w:line="252" w:lineRule="auto"/>
        <w:rPr>
          <w:sz w:val="20"/>
          <w:szCs w:val="20"/>
          <w:color w:val="auto"/>
        </w:rPr>
      </w:pPr>
      <w:r>
        <w:rPr>
          <w:rFonts w:ascii="Times New Roman" w:cs="Times New Roman" w:eastAsia="Times New Roman" w:hAnsi="Times New Roman"/>
          <w:sz w:val="18"/>
          <w:szCs w:val="18"/>
          <w:color w:val="auto"/>
        </w:rPr>
        <w:t>specified price and delivery date. Penalties are paid to the investor if we fail to satisfy the contract. Gains and losses are realized at the time consideration is received and all other criteria for sales treatment have been met. These loans are typically sold within 30-40 days after the loan is funded. Although loan fees and some interest income are derived from mortgage loans held for sale, the main source of income is gains from the sale of these loans in the secondary market. Loans held for sale fluctuates based on mortgage production volume.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w:t>
      </w:r>
    </w:p>
    <w:p>
      <w:pPr>
        <w:spacing w:after="0" w:line="1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Loans held for investment, which excludes loans held for sale, is the Company’s most significant earning asset, comprising 71.20% and 71.45% of total assets at December 31, 2025 and 2024, respectively. This percentage fluctuates based on a number of factors, including the extent of our loan growth and whether the Company has excess liquidity on its balance sheet. During 2025, the Company acquired $5,196,181 of loans held for investment as part of its merger with The First.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set forth the balance of loans outstanding by loan type and the percentage of loans, by category, to total loans 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30480</wp:posOffset>
            </wp:positionV>
            <wp:extent cx="38855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85565" cy="825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p>
      <w:pPr>
        <w:spacing w:after="0" w:line="54"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15240</wp:posOffset>
            </wp:positionV>
            <wp:extent cx="19469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946910" cy="8255"/>
                    </a:xfrm>
                    <a:prstGeom prst="rect">
                      <a:avLst/>
                    </a:prstGeom>
                    <a:noFill/>
                  </pic:spPr>
                </pic:pic>
              </a:graphicData>
            </a:graphic>
          </wp:anchor>
        </w:drawing>
      </w:r>
    </w:p>
    <w:p>
      <w:pPr>
        <w:spacing w:after="0" w:line="10" w:lineRule="exact"/>
        <w:rPr>
          <w:sz w:val="20"/>
          <w:szCs w:val="20"/>
          <w:color w:val="auto"/>
        </w:rPr>
      </w:pPr>
    </w:p>
    <w:p>
      <w:pPr>
        <w:ind w:left="5660"/>
        <w:spacing w:after="0"/>
        <w:tabs>
          <w:tab w:leader="none" w:pos="6700" w:val="left"/>
        </w:tabs>
        <w:rPr>
          <w:sz w:val="20"/>
          <w:szCs w:val="20"/>
          <w:color w:val="auto"/>
        </w:rPr>
      </w:pPr>
      <w:r>
        <w:rPr>
          <w:rFonts w:ascii="Times New Roman" w:cs="Times New Roman" w:eastAsia="Times New Roman" w:hAnsi="Times New Roman"/>
          <w:sz w:val="16"/>
          <w:szCs w:val="16"/>
          <w:b w:val="1"/>
          <w:bCs w:val="1"/>
          <w:color w:val="auto"/>
        </w:rPr>
        <w:t>Total</w:t>
      </w:r>
      <w:r>
        <w:rPr>
          <w:sz w:val="20"/>
          <w:szCs w:val="20"/>
          <w:color w:val="auto"/>
        </w:rPr>
        <w:tab/>
      </w:r>
      <w:r>
        <w:rPr>
          <w:rFonts w:ascii="Times New Roman" w:cs="Times New Roman" w:eastAsia="Times New Roman" w:hAnsi="Times New Roman"/>
          <w:sz w:val="16"/>
          <w:szCs w:val="16"/>
          <w:b w:val="1"/>
          <w:bCs w:val="1"/>
          <w:color w:val="auto"/>
        </w:rPr>
        <w:t>Percentage of Total</w:t>
      </w:r>
    </w:p>
    <w:p>
      <w:pPr>
        <w:spacing w:after="0" w:line="9" w:lineRule="exact"/>
        <w:rPr>
          <w:sz w:val="20"/>
          <w:szCs w:val="20"/>
          <w:color w:val="auto"/>
        </w:rPr>
      </w:pPr>
    </w:p>
    <w:p>
      <w:pPr>
        <w:ind w:left="5640"/>
        <w:spacing w:after="0"/>
        <w:tabs>
          <w:tab w:leader="none" w:pos="7200" w:val="left"/>
        </w:tabs>
        <w:rPr>
          <w:sz w:val="20"/>
          <w:szCs w:val="20"/>
          <w:color w:val="auto"/>
        </w:rPr>
      </w:pPr>
      <w:r>
        <w:rPr>
          <w:rFonts w:ascii="Times New Roman" w:cs="Times New Roman" w:eastAsia="Times New Roman" w:hAnsi="Times New Roman"/>
          <w:sz w:val="18"/>
          <w:szCs w:val="18"/>
          <w:b w:val="1"/>
          <w:bCs w:val="1"/>
          <w:color w:val="auto"/>
        </w:rPr>
        <w:t>Loans</w:t>
      </w:r>
      <w:r>
        <w:rPr>
          <w:sz w:val="20"/>
          <w:szCs w:val="20"/>
          <w:color w:val="auto"/>
        </w:rPr>
        <w:tab/>
      </w:r>
      <w:r>
        <w:rPr>
          <w:rFonts w:ascii="Times New Roman" w:cs="Times New Roman" w:eastAsia="Times New Roman" w:hAnsi="Times New Roman"/>
          <w:sz w:val="18"/>
          <w:szCs w:val="18"/>
          <w:b w:val="1"/>
          <w:bCs w:val="1"/>
          <w:color w:val="auto"/>
        </w:rPr>
        <w:t>Loans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15240</wp:posOffset>
            </wp:positionV>
            <wp:extent cx="18802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80235" cy="8255"/>
                    </a:xfrm>
                    <a:prstGeom prst="rect">
                      <a:avLst/>
                    </a:prstGeom>
                    <a:noFill/>
                  </pic:spPr>
                </pic:pic>
              </a:graphicData>
            </a:graphic>
          </wp:anchor>
        </w:drawing>
      </w:r>
    </w:p>
    <w:p>
      <w:pPr>
        <w:spacing w:after="0" w:line="10" w:lineRule="exact"/>
        <w:rPr>
          <w:sz w:val="20"/>
          <w:szCs w:val="20"/>
          <w:color w:val="auto"/>
        </w:rPr>
      </w:pPr>
    </w:p>
    <w:p>
      <w:pPr>
        <w:ind w:left="40"/>
        <w:spacing w:after="0"/>
        <w:tabs>
          <w:tab w:leader="none" w:pos="1020" w:val="left"/>
        </w:tabs>
        <w:rPr>
          <w:sz w:val="20"/>
          <w:szCs w:val="20"/>
          <w:color w:val="auto"/>
        </w:rPr>
      </w:pPr>
      <w:r>
        <w:rPr>
          <w:rFonts w:ascii="Times New Roman" w:cs="Times New Roman" w:eastAsia="Times New Roman" w:hAnsi="Times New Roman"/>
          <w:sz w:val="16"/>
          <w:szCs w:val="16"/>
          <w:b w:val="1"/>
          <w:bCs w:val="1"/>
          <w:color w:val="auto"/>
        </w:rPr>
        <w:t>Total</w:t>
      </w:r>
      <w:r>
        <w:rPr>
          <w:sz w:val="20"/>
          <w:szCs w:val="20"/>
          <w:color w:val="auto"/>
        </w:rPr>
        <w:tab/>
      </w:r>
      <w:r>
        <w:rPr>
          <w:rFonts w:ascii="Times New Roman" w:cs="Times New Roman" w:eastAsia="Times New Roman" w:hAnsi="Times New Roman"/>
          <w:sz w:val="16"/>
          <w:szCs w:val="16"/>
          <w:b w:val="1"/>
          <w:bCs w:val="1"/>
          <w:color w:val="auto"/>
        </w:rPr>
        <w:t>Percentage of Total</w:t>
      </w:r>
    </w:p>
    <w:p>
      <w:pPr>
        <w:spacing w:after="0" w:line="9"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Loans</w:t>
      </w:r>
      <w:r>
        <w:rPr>
          <w:sz w:val="20"/>
          <w:szCs w:val="20"/>
          <w:color w:val="auto"/>
        </w:rPr>
        <w:tab/>
      </w:r>
      <w:r>
        <w:rPr>
          <w:rFonts w:ascii="Times New Roman" w:cs="Times New Roman" w:eastAsia="Times New Roman" w:hAnsi="Times New Roman"/>
          <w:sz w:val="18"/>
          <w:szCs w:val="18"/>
          <w:b w:val="1"/>
          <w:bCs w:val="1"/>
          <w:color w:val="auto"/>
        </w:rPr>
        <w:t>Loans</w:t>
      </w:r>
    </w:p>
    <w:p>
      <w:pPr>
        <w:spacing w:after="0" w:line="1" w:lineRule="exact"/>
        <w:rPr>
          <w:sz w:val="20"/>
          <w:szCs w:val="20"/>
          <w:color w:val="auto"/>
        </w:rPr>
      </w:pPr>
    </w:p>
    <w:p>
      <w:pPr>
        <w:sectPr>
          <w:pgSz w:w="11900" w:h="16838" w:orient="portrait"/>
          <w:cols w:equalWidth="0" w:num="2">
            <w:col w:w="8160" w:space="580"/>
            <w:col w:w="2500"/>
          </w:cols>
          <w:pgMar w:left="320" w:top="871" w:right="339" w:bottom="1440" w:gutter="0" w:footer="0" w:header="0"/>
          <w:type w:val="continuous"/>
        </w:sectPr>
      </w:pPr>
    </w:p>
    <w:tbl>
      <w:tblPr>
        <w:tblLayout w:type="fixed"/>
        <w:tblInd w:w="0" w:type="dxa"/>
        <w:tblCellMar>
          <w:top w:w="0" w:type="dxa"/>
          <w:left w:w="0" w:type="dxa"/>
          <w:bottom w:w="0" w:type="dxa"/>
          <w:right w:w="0" w:type="dxa"/>
        </w:tblCellMar>
      </w:tblPr>
      <w:tr>
        <w:trPr>
          <w:trHeight w:val="231"/>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60" w:type="dxa"/>
            <w:vAlign w:val="bottom"/>
            <w:tcBorders>
              <w:top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2,818,326</w:t>
            </w:r>
          </w:p>
        </w:tc>
        <w:tc>
          <w:tcPr>
            <w:tcW w:w="80" w:type="dxa"/>
            <w:vAlign w:val="bottom"/>
            <w:tcBorders>
              <w:top w:val="single" w:sz="8" w:color="CCEEFF"/>
            </w:tcBorders>
            <w:shd w:val="clear" w:color="auto" w:fill="CCEEFF"/>
          </w:tcPr>
          <w:p>
            <w:pPr>
              <w:spacing w:after="0"/>
              <w:rPr>
                <w:sz w:val="20"/>
                <w:szCs w:val="20"/>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14.79 %</w:t>
            </w:r>
          </w:p>
        </w:tc>
        <w:tc>
          <w:tcPr>
            <w:tcW w:w="1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1,976,286</w:t>
            </w:r>
          </w:p>
        </w:tc>
        <w:tc>
          <w:tcPr>
            <w:tcW w:w="80" w:type="dxa"/>
            <w:vAlign w:val="bottom"/>
            <w:tcBorders>
              <w:top w:val="single" w:sz="8" w:color="CCEEFF"/>
            </w:tcBorders>
            <w:shd w:val="clear" w:color="auto" w:fill="CCEEFF"/>
          </w:tcPr>
          <w:p>
            <w:pPr>
              <w:spacing w:after="0"/>
              <w:rPr>
                <w:sz w:val="20"/>
                <w:szCs w:val="20"/>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15.34 %</w:t>
            </w:r>
          </w:p>
        </w:tc>
      </w:tr>
      <w:tr>
        <w:trPr>
          <w:trHeight w:val="224"/>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4"/>
        </w:trPr>
        <w:tc>
          <w:tcPr>
            <w:tcW w:w="5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Residential</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382,773</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256,661</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1.99 %</w:t>
            </w:r>
          </w:p>
        </w:tc>
      </w:tr>
      <w:tr>
        <w:trPr>
          <w:trHeight w:val="224"/>
        </w:trPr>
        <w:tc>
          <w:tcPr>
            <w:tcW w:w="51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1,522,863</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1,065,148</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8.27 %</w:t>
            </w:r>
          </w:p>
        </w:tc>
      </w:tr>
      <w:tr>
        <w:trPr>
          <w:trHeight w:val="217"/>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construction and land development</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1,905,636</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1,321,809</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10.26 %</w:t>
            </w:r>
          </w:p>
        </w:tc>
      </w:tr>
      <w:tr>
        <w:trPr>
          <w:trHeight w:val="224"/>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 1-4 family mortgage:</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4"/>
        </w:trPr>
        <w:tc>
          <w:tcPr>
            <w:tcW w:w="5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First lien</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3,844,097</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2,805,693</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21.77 %</w:t>
            </w:r>
          </w:p>
        </w:tc>
      </w:tr>
      <w:tr>
        <w:trPr>
          <w:trHeight w:val="224"/>
        </w:trPr>
        <w:tc>
          <w:tcPr>
            <w:tcW w:w="5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Junior lien</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52,943</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25,441</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0.20 %</w:t>
            </w:r>
          </w:p>
        </w:tc>
      </w:tr>
      <w:tr>
        <w:trPr>
          <w:trHeight w:val="224"/>
        </w:trPr>
        <w:tc>
          <w:tcPr>
            <w:tcW w:w="5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Home equity</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737,993</w:t>
            </w:r>
          </w:p>
        </w:tc>
        <w:tc>
          <w:tcPr>
            <w:tcW w:w="8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3.87 %</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544,160</w:t>
            </w:r>
          </w:p>
        </w:tc>
        <w:tc>
          <w:tcPr>
            <w:tcW w:w="8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4.22 %</w:t>
            </w:r>
          </w:p>
        </w:tc>
      </w:tr>
      <w:tr>
        <w:trPr>
          <w:trHeight w:val="217"/>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real estate – 1-4 family mortgage</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4,635,033</w:t>
            </w:r>
          </w:p>
        </w:tc>
        <w:tc>
          <w:tcPr>
            <w:tcW w:w="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3,375,294</w:t>
            </w:r>
          </w:p>
        </w:tc>
        <w:tc>
          <w:tcPr>
            <w:tcW w:w="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26.19 %</w:t>
            </w:r>
          </w:p>
        </w:tc>
      </w:tr>
      <w:tr>
        <w:trPr>
          <w:trHeight w:val="224"/>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 - owner occupied</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3,334,664</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1,894,679</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14.70 %</w:t>
            </w:r>
          </w:p>
        </w:tc>
      </w:tr>
      <w:tr>
        <w:trPr>
          <w:trHeight w:val="224"/>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 - non-owner occupied</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4"/>
        </w:trPr>
        <w:tc>
          <w:tcPr>
            <w:tcW w:w="5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Multi family</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1,392,779</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985,037</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7.64 %</w:t>
            </w:r>
          </w:p>
        </w:tc>
      </w:tr>
      <w:tr>
        <w:trPr>
          <w:trHeight w:val="224"/>
        </w:trPr>
        <w:tc>
          <w:tcPr>
            <w:tcW w:w="51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4,852,701</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25.48 %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3,241,901</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25.17 %</w:t>
            </w:r>
          </w:p>
        </w:tc>
      </w:tr>
      <w:tr>
        <w:trPr>
          <w:trHeight w:val="217"/>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commercial real estate - non-owner occupied</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6,245,480</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4,226,938</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32.81 %</w:t>
            </w:r>
          </w:p>
        </w:tc>
      </w:tr>
      <w:tr>
        <w:trPr>
          <w:trHeight w:val="224"/>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107,900</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0.57 %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90,014</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0.70 %</w:t>
            </w:r>
          </w:p>
        </w:tc>
      </w:tr>
      <w:tr>
        <w:trPr>
          <w:trHeight w:val="242"/>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loans, net of unearned income</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19,047,039</w:t>
            </w:r>
          </w:p>
        </w:tc>
        <w:tc>
          <w:tcPr>
            <w:tcW w:w="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12,885,020</w:t>
            </w:r>
          </w:p>
        </w:tc>
        <w:tc>
          <w:tcPr>
            <w:tcW w:w="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following table sets forth loans held for investment, net of unearned income, outstanding at December 31, 2025, which, based on remaining contractually-scheduled repayments of principal, are due in the periods indicated. Loans with balloon payments and longer amortizations are often repriced and extended beyond the initial maturity when credit conditions remain satisfactory. Demand loans, loans having no stated schedule of repayments and no stated maturity, and overdrafts are reported below as due in one year or less. See “Risk Management – Credit Risk and Allowance for Credit Losses on Loans and Unfunded Commitments” in this Item 7 for information regarding the risk elements applicable to, and a summary of our loan loss experience with respect to, the loans in each of the categories listed below.</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type w:val="continuous"/>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4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4"/>
              </w:rPr>
              <w:t>After One Year</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After Five</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240" w:type="dxa"/>
            <w:vAlign w:val="bottom"/>
            <w:gridSpan w:val="2"/>
          </w:tcPr>
          <w:p>
            <w:pPr>
              <w:jc w:val="center"/>
              <w:ind w:right="120"/>
              <w:spacing w:after="0" w:line="171" w:lineRule="exact"/>
              <w:rPr>
                <w:sz w:val="20"/>
                <w:szCs w:val="20"/>
                <w:color w:val="auto"/>
              </w:rPr>
            </w:pPr>
            <w:r>
              <w:rPr>
                <w:rFonts w:ascii="Times New Roman" w:cs="Times New Roman" w:eastAsia="Times New Roman" w:hAnsi="Times New Roman"/>
                <w:sz w:val="18"/>
                <w:szCs w:val="18"/>
                <w:b w:val="1"/>
                <w:bCs w:val="1"/>
                <w:color w:val="auto"/>
                <w:w w:val="88"/>
              </w:rPr>
              <w:t>Years</w:t>
            </w:r>
          </w:p>
        </w:tc>
        <w:tc>
          <w:tcPr>
            <w:tcW w:w="140" w:type="dxa"/>
            <w:vAlign w:val="bottom"/>
          </w:tcPr>
          <w:p>
            <w:pPr>
              <w:spacing w:after="0"/>
              <w:rPr>
                <w:sz w:val="14"/>
                <w:szCs w:val="14"/>
                <w:color w:val="auto"/>
              </w:rPr>
            </w:pP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After Fifteen</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500" w:type="dxa"/>
            <w:vAlign w:val="bottom"/>
          </w:tcPr>
          <w:p>
            <w:pPr>
              <w:spacing w:after="0"/>
              <w:rPr>
                <w:sz w:val="16"/>
                <w:szCs w:val="16"/>
                <w:color w:val="auto"/>
              </w:rPr>
            </w:pPr>
          </w:p>
        </w:tc>
        <w:tc>
          <w:tcPr>
            <w:tcW w:w="14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One Year or Less</w:t>
            </w:r>
          </w:p>
        </w:tc>
        <w:tc>
          <w:tcPr>
            <w:tcW w:w="100" w:type="dxa"/>
            <w:vAlign w:val="bottom"/>
          </w:tcPr>
          <w:p>
            <w:pPr>
              <w:spacing w:after="0"/>
              <w:rPr>
                <w:sz w:val="16"/>
                <w:szCs w:val="16"/>
                <w:color w:val="auto"/>
              </w:rPr>
            </w:pPr>
          </w:p>
        </w:tc>
        <w:tc>
          <w:tcPr>
            <w:tcW w:w="132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w w:val="96"/>
              </w:rPr>
              <w:t>Through Five</w:t>
            </w:r>
          </w:p>
        </w:tc>
        <w:tc>
          <w:tcPr>
            <w:tcW w:w="124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6"/>
              </w:rPr>
              <w:t>Through</w:t>
            </w: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vMerge w:val="restart"/>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4"/>
        </w:trPr>
        <w:tc>
          <w:tcPr>
            <w:tcW w:w="4500" w:type="dxa"/>
            <w:vAlign w:val="bottom"/>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3"/>
              </w:rPr>
              <w:t>Years</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Fifteen Years</w:t>
            </w:r>
          </w:p>
        </w:tc>
        <w:tc>
          <w:tcPr>
            <w:tcW w:w="140" w:type="dxa"/>
            <w:vAlign w:val="bottom"/>
          </w:tcPr>
          <w:p>
            <w:pPr>
              <w:spacing w:after="0"/>
              <w:rPr>
                <w:sz w:val="19"/>
                <w:szCs w:val="19"/>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3"/>
              </w:rPr>
              <w:t>Years</w:t>
            </w:r>
          </w:p>
        </w:tc>
        <w:tc>
          <w:tcPr>
            <w:tcW w:w="2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1,881,404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765,213</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169,567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2,818,326</w:t>
            </w:r>
          </w:p>
        </w:tc>
        <w:tc>
          <w:tcPr>
            <w:tcW w:w="0" w:type="dxa"/>
            <w:vAlign w:val="bottom"/>
          </w:tcPr>
          <w:p>
            <w:pPr>
              <w:spacing w:after="0"/>
              <w:rPr>
                <w:sz w:val="1"/>
                <w:szCs w:val="1"/>
                <w:color w:val="auto"/>
              </w:rPr>
            </w:pPr>
          </w:p>
        </w:tc>
      </w:tr>
      <w:tr>
        <w:trPr>
          <w:trHeight w:val="22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Residential</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276,817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382,773</w:t>
            </w:r>
          </w:p>
        </w:tc>
        <w:tc>
          <w:tcPr>
            <w:tcW w:w="0" w:type="dxa"/>
            <w:vAlign w:val="bottom"/>
          </w:tcPr>
          <w:p>
            <w:pPr>
              <w:spacing w:after="0"/>
              <w:rPr>
                <w:sz w:val="1"/>
                <w:szCs w:val="1"/>
                <w:color w:val="auto"/>
              </w:rPr>
            </w:pPr>
          </w:p>
        </w:tc>
      </w:tr>
      <w:tr>
        <w:trPr>
          <w:trHeight w:val="224"/>
        </w:trPr>
        <w:tc>
          <w:tcPr>
            <w:tcW w:w="4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1,187,542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272,647</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59,150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1,522,863</w:t>
            </w:r>
          </w:p>
        </w:tc>
        <w:tc>
          <w:tcPr>
            <w:tcW w:w="0" w:type="dxa"/>
            <w:vAlign w:val="bottom"/>
          </w:tcPr>
          <w:p>
            <w:pPr>
              <w:spacing w:after="0"/>
              <w:rPr>
                <w:sz w:val="1"/>
                <w:szCs w:val="1"/>
                <w:color w:val="auto"/>
              </w:rPr>
            </w:pPr>
          </w:p>
        </w:tc>
      </w:tr>
      <w:tr>
        <w:trPr>
          <w:trHeight w:val="217"/>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construction and land development</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1,464,359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289,667</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94,202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57,408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1,905,636</w:t>
            </w:r>
          </w:p>
        </w:tc>
        <w:tc>
          <w:tcPr>
            <w:tcW w:w="0" w:type="dxa"/>
            <w:vAlign w:val="bottom"/>
          </w:tcPr>
          <w:p>
            <w:pPr>
              <w:spacing w:after="0"/>
              <w:rPr>
                <w:sz w:val="1"/>
                <w:szCs w:val="1"/>
                <w:color w:val="auto"/>
              </w:rPr>
            </w:pPr>
          </w:p>
        </w:tc>
      </w:tr>
      <w:tr>
        <w:trPr>
          <w:trHeight w:val="22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 1-4 family mortgage:</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First lien</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498,629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1,014,722</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876,311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1,454,435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3,844,097</w:t>
            </w:r>
          </w:p>
        </w:tc>
        <w:tc>
          <w:tcPr>
            <w:tcW w:w="0" w:type="dxa"/>
            <w:vAlign w:val="bottom"/>
          </w:tcPr>
          <w:p>
            <w:pPr>
              <w:spacing w:after="0"/>
              <w:rPr>
                <w:sz w:val="1"/>
                <w:szCs w:val="1"/>
                <w:color w:val="auto"/>
              </w:rPr>
            </w:pPr>
          </w:p>
        </w:tc>
      </w:tr>
      <w:tr>
        <w:trPr>
          <w:trHeight w:val="224"/>
        </w:trPr>
        <w:tc>
          <w:tcPr>
            <w:tcW w:w="4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Junior lien</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21,231</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52,943</w:t>
            </w:r>
          </w:p>
        </w:tc>
        <w:tc>
          <w:tcPr>
            <w:tcW w:w="0" w:type="dxa"/>
            <w:vAlign w:val="bottom"/>
          </w:tcPr>
          <w:p>
            <w:pPr>
              <w:spacing w:after="0"/>
              <w:rPr>
                <w:sz w:val="1"/>
                <w:szCs w:val="1"/>
                <w:color w:val="auto"/>
              </w:rPr>
            </w:pPr>
          </w:p>
        </w:tc>
      </w:tr>
      <w:tr>
        <w:trPr>
          <w:trHeight w:val="224"/>
        </w:trPr>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Home equity</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707,925</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27,809</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737,993</w:t>
            </w:r>
          </w:p>
        </w:tc>
        <w:tc>
          <w:tcPr>
            <w:tcW w:w="0" w:type="dxa"/>
            <w:vAlign w:val="bottom"/>
          </w:tcPr>
          <w:p>
            <w:pPr>
              <w:spacing w:after="0"/>
              <w:rPr>
                <w:sz w:val="1"/>
                <w:szCs w:val="1"/>
                <w:color w:val="auto"/>
              </w:rPr>
            </w:pPr>
          </w:p>
        </w:tc>
      </w:tr>
      <w:tr>
        <w:trPr>
          <w:trHeight w:val="217"/>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real estate – 1-4 family mortgage</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1,229,088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1,063,762</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887,643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1,454,540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4,635,033</w:t>
            </w:r>
          </w:p>
        </w:tc>
        <w:tc>
          <w:tcPr>
            <w:tcW w:w="0" w:type="dxa"/>
            <w:vAlign w:val="bottom"/>
          </w:tcPr>
          <w:p>
            <w:pPr>
              <w:spacing w:after="0"/>
              <w:rPr>
                <w:sz w:val="1"/>
                <w:szCs w:val="1"/>
                <w:color w:val="auto"/>
              </w:rPr>
            </w:pPr>
          </w:p>
        </w:tc>
      </w:tr>
      <w:tr>
        <w:trPr>
          <w:trHeight w:val="224"/>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 - owner occupied</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1,466,125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1,296,159</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537,030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3,334,664</w:t>
            </w:r>
          </w:p>
        </w:tc>
        <w:tc>
          <w:tcPr>
            <w:tcW w:w="0" w:type="dxa"/>
            <w:vAlign w:val="bottom"/>
          </w:tcPr>
          <w:p>
            <w:pPr>
              <w:spacing w:after="0"/>
              <w:rPr>
                <w:sz w:val="1"/>
                <w:szCs w:val="1"/>
                <w:color w:val="auto"/>
              </w:rPr>
            </w:pPr>
          </w:p>
        </w:tc>
      </w:tr>
      <w:tr>
        <w:trPr>
          <w:trHeight w:val="22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 - non-owner occupied</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Multi family</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1,119,440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235,325</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1,392,779</w:t>
            </w:r>
          </w:p>
        </w:tc>
        <w:tc>
          <w:tcPr>
            <w:tcW w:w="0" w:type="dxa"/>
            <w:vAlign w:val="bottom"/>
          </w:tcPr>
          <w:p>
            <w:pPr>
              <w:spacing w:after="0"/>
              <w:rPr>
                <w:sz w:val="1"/>
                <w:szCs w:val="1"/>
                <w:color w:val="auto"/>
              </w:rPr>
            </w:pPr>
          </w:p>
        </w:tc>
      </w:tr>
      <w:tr>
        <w:trPr>
          <w:trHeight w:val="224"/>
        </w:trPr>
        <w:tc>
          <w:tcPr>
            <w:tcW w:w="4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2,749,658</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1,753,421</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346,396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4,852,701</w:t>
            </w:r>
          </w:p>
        </w:tc>
        <w:tc>
          <w:tcPr>
            <w:tcW w:w="0" w:type="dxa"/>
            <w:vAlign w:val="bottom"/>
          </w:tcPr>
          <w:p>
            <w:pPr>
              <w:spacing w:after="0"/>
              <w:rPr>
                <w:sz w:val="1"/>
                <w:szCs w:val="1"/>
                <w:color w:val="auto"/>
              </w:rPr>
            </w:pPr>
          </w:p>
        </w:tc>
      </w:tr>
      <w:tr>
        <w:trPr>
          <w:trHeight w:val="217"/>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commercial real estate - non-owner occupied</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3,869,098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1,988,746</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381,343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6,245,480</w:t>
            </w:r>
          </w:p>
        </w:tc>
        <w:tc>
          <w:tcPr>
            <w:tcW w:w="0" w:type="dxa"/>
            <w:vAlign w:val="bottom"/>
          </w:tcPr>
          <w:p>
            <w:pPr>
              <w:spacing w:after="0"/>
              <w:rPr>
                <w:sz w:val="1"/>
                <w:szCs w:val="1"/>
                <w:color w:val="auto"/>
              </w:rPr>
            </w:pPr>
          </w:p>
        </w:tc>
      </w:tr>
      <w:tr>
        <w:trPr>
          <w:trHeight w:val="224"/>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43,335</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56,860</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107,900</w:t>
            </w:r>
          </w:p>
        </w:tc>
        <w:tc>
          <w:tcPr>
            <w:tcW w:w="0" w:type="dxa"/>
            <w:vAlign w:val="bottom"/>
          </w:tcPr>
          <w:p>
            <w:pPr>
              <w:spacing w:after="0"/>
              <w:rPr>
                <w:sz w:val="1"/>
                <w:szCs w:val="1"/>
                <w:color w:val="auto"/>
              </w:rPr>
            </w:pPr>
          </w:p>
        </w:tc>
      </w:tr>
      <w:tr>
        <w:trPr>
          <w:trHeight w:val="242"/>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loans, net of unearned income</w:t>
            </w: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9,953,409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5,460,407</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2,077,229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1,555,994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19,047,039</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Loan concentrations are considered to exist when there are loans to a number of borrowers engaged in similar activities that would cause them to be similarly impacted by economic or other conditions. At December 31, 2025, there were no concentrations of loans exceeding 10% of total loans other than loans disclosed in the table above. Non-owner occupied commercial real estate loans were the largest concentration and comprised 32.79% of total loans at December 31, 2025. The following table provides additional detail, broken down by collateral type, about loan segments within the non-owner occupied commercial real estate loan category as of the date presented.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40" w:type="dxa"/>
            <w:vAlign w:val="bottom"/>
            <w:gridSpan w:val="4"/>
          </w:tcPr>
          <w:p>
            <w:pPr>
              <w:ind w:left="11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3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Average Loan Size</w:t>
            </w:r>
          </w:p>
        </w:tc>
        <w:tc>
          <w:tcPr>
            <w:tcW w:w="1580" w:type="dxa"/>
            <w:vAlign w:val="bottom"/>
            <w:gridSpan w:val="2"/>
          </w:tcPr>
          <w:p>
            <w:pPr>
              <w:jc w:val="center"/>
              <w:ind w:right="100"/>
              <w:spacing w:after="0" w:line="125" w:lineRule="exact"/>
              <w:rPr>
                <w:sz w:val="20"/>
                <w:szCs w:val="20"/>
                <w:color w:val="auto"/>
              </w:rPr>
            </w:pPr>
            <w:r>
              <w:rPr>
                <w:rFonts w:ascii="Times New Roman" w:cs="Times New Roman" w:eastAsia="Times New Roman" w:hAnsi="Times New Roman"/>
                <w:sz w:val="14"/>
                <w:szCs w:val="14"/>
                <w:b w:val="1"/>
                <w:bCs w:val="1"/>
                <w:color w:val="auto"/>
                <w:w w:val="99"/>
              </w:rPr>
              <w:t>Percentage of Total</w:t>
            </w:r>
          </w:p>
        </w:tc>
        <w:tc>
          <w:tcPr>
            <w:tcW w:w="1560" w:type="dxa"/>
            <w:vAlign w:val="bottom"/>
            <w:gridSpan w:val="2"/>
          </w:tcPr>
          <w:p>
            <w:pPr>
              <w:ind w:left="180"/>
              <w:spacing w:after="0" w:line="125"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1580" w:type="dxa"/>
            <w:vAlign w:val="bottom"/>
            <w:gridSpan w:val="2"/>
          </w:tcPr>
          <w:p>
            <w:pPr>
              <w:jc w:val="center"/>
              <w:ind w:right="100"/>
              <w:spacing w:after="0" w:line="125" w:lineRule="exact"/>
              <w:rPr>
                <w:sz w:val="20"/>
                <w:szCs w:val="20"/>
                <w:color w:val="auto"/>
              </w:rPr>
            </w:pPr>
            <w:r>
              <w:rPr>
                <w:rFonts w:ascii="Times New Roman" w:cs="Times New Roman" w:eastAsia="Times New Roman" w:hAnsi="Times New Roman"/>
                <w:sz w:val="14"/>
                <w:szCs w:val="14"/>
                <w:b w:val="1"/>
                <w:bCs w:val="1"/>
                <w:color w:val="auto"/>
              </w:rPr>
              <w:t>Percentage 30-89 Days</w:t>
            </w:r>
          </w:p>
        </w:tc>
        <w:tc>
          <w:tcPr>
            <w:tcW w:w="1480" w:type="dxa"/>
            <w:vAlign w:val="bottom"/>
          </w:tcPr>
          <w:p>
            <w:pPr>
              <w:jc w:val="right"/>
              <w:ind w:right="335"/>
              <w:spacing w:after="0" w:line="125"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91"/>
        </w:trPr>
        <w:tc>
          <w:tcPr>
            <w:tcW w:w="2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Loans</w:t>
            </w:r>
          </w:p>
        </w:tc>
        <w:tc>
          <w:tcPr>
            <w:tcW w:w="15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Loan-to-Value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Past Due</w:t>
            </w:r>
          </w:p>
        </w:tc>
        <w:tc>
          <w:tcPr>
            <w:tcW w:w="14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Non-performing</w:t>
            </w:r>
          </w:p>
        </w:tc>
        <w:tc>
          <w:tcPr>
            <w:tcW w:w="0" w:type="dxa"/>
            <w:vAlign w:val="bottom"/>
          </w:tcPr>
          <w:p>
            <w:pPr>
              <w:spacing w:after="0"/>
              <w:rPr>
                <w:sz w:val="1"/>
                <w:szCs w:val="1"/>
                <w:color w:val="auto"/>
              </w:rPr>
            </w:pPr>
          </w:p>
        </w:tc>
      </w:tr>
      <w:tr>
        <w:trPr>
          <w:trHeight w:val="223"/>
        </w:trPr>
        <w:tc>
          <w:tcPr>
            <w:tcW w:w="2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Hotels</w:t>
            </w:r>
          </w:p>
        </w:tc>
        <w:tc>
          <w:tcPr>
            <w:tcW w:w="28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723,192</w:t>
            </w: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4,464</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3.80 %</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w w:val="95"/>
              </w:rPr>
              <w:t>53 %</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4"/>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Self Storage</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576,371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80" w:type="dxa"/>
            <w:vAlign w:val="bottom"/>
          </w:tcPr>
          <w:p>
            <w:pPr>
              <w:spacing w:after="0"/>
              <w:rPr>
                <w:sz w:val="19"/>
                <w:szCs w:val="19"/>
                <w:color w:val="auto"/>
              </w:rPr>
            </w:pPr>
          </w:p>
        </w:tc>
        <w:tc>
          <w:tcPr>
            <w:tcW w:w="148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19"/>
                <w:szCs w:val="19"/>
                <w:color w:val="auto"/>
              </w:rPr>
            </w:pPr>
          </w:p>
        </w:tc>
        <w:tc>
          <w:tcPr>
            <w:tcW w:w="14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1,392,872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24"/>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 Medical</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394,098</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80" w:type="dxa"/>
            <w:vAlign w:val="bottom"/>
          </w:tcPr>
          <w:p>
            <w:pPr>
              <w:spacing w:after="0"/>
              <w:rPr>
                <w:sz w:val="19"/>
                <w:szCs w:val="19"/>
                <w:color w:val="auto"/>
              </w:rPr>
            </w:pPr>
          </w:p>
        </w:tc>
        <w:tc>
          <w:tcPr>
            <w:tcW w:w="148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19"/>
                <w:szCs w:val="19"/>
                <w:color w:val="auto"/>
              </w:rPr>
            </w:pPr>
          </w:p>
        </w:tc>
        <w:tc>
          <w:tcPr>
            <w:tcW w:w="14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 Non-Medical</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462,970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24"/>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1,316,183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80" w:type="dxa"/>
            <w:vAlign w:val="bottom"/>
          </w:tcPr>
          <w:p>
            <w:pPr>
              <w:spacing w:after="0"/>
              <w:rPr>
                <w:sz w:val="19"/>
                <w:szCs w:val="19"/>
                <w:color w:val="auto"/>
              </w:rPr>
            </w:pPr>
          </w:p>
        </w:tc>
        <w:tc>
          <w:tcPr>
            <w:tcW w:w="148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Pr>
          <w:p>
            <w:pPr>
              <w:spacing w:after="0"/>
              <w:rPr>
                <w:sz w:val="19"/>
                <w:szCs w:val="19"/>
                <w:color w:val="auto"/>
              </w:rPr>
            </w:pPr>
          </w:p>
        </w:tc>
        <w:tc>
          <w:tcPr>
            <w:tcW w:w="14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14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19"/>
                <w:szCs w:val="19"/>
                <w:color w:val="auto"/>
              </w:rPr>
            </w:pPr>
          </w:p>
        </w:tc>
        <w:tc>
          <w:tcPr>
            <w:tcW w:w="14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24"/>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Housing</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301,598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5,484</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24"/>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Warehouse/Industrial</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904,672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80" w:type="dxa"/>
            <w:vAlign w:val="bottom"/>
          </w:tcPr>
          <w:p>
            <w:pPr>
              <w:spacing w:after="0"/>
              <w:rPr>
                <w:sz w:val="19"/>
                <w:szCs w:val="19"/>
                <w:color w:val="auto"/>
              </w:rPr>
            </w:pPr>
          </w:p>
        </w:tc>
        <w:tc>
          <w:tcPr>
            <w:tcW w:w="148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19"/>
                <w:szCs w:val="19"/>
                <w:color w:val="auto"/>
              </w:rPr>
            </w:pPr>
          </w:p>
        </w:tc>
        <w:tc>
          <w:tcPr>
            <w:tcW w:w="14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14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tcPr>
          <w:p>
            <w:pPr>
              <w:spacing w:after="0"/>
              <w:rPr>
                <w:sz w:val="19"/>
                <w:szCs w:val="19"/>
                <w:color w:val="auto"/>
              </w:rPr>
            </w:pPr>
          </w:p>
        </w:tc>
        <w:tc>
          <w:tcPr>
            <w:tcW w:w="14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173,524</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8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0.91</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1"/>
        </w:trPr>
        <w:tc>
          <w:tcPr>
            <w:tcW w:w="2220" w:type="dxa"/>
            <w:vAlign w:val="bottom"/>
          </w:tcPr>
          <w:p>
            <w:pPr>
              <w:ind w:left="20"/>
              <w:spacing w:after="0" w:line="152" w:lineRule="exact"/>
              <w:rPr>
                <w:sz w:val="20"/>
                <w:szCs w:val="20"/>
                <w:color w:val="auto"/>
              </w:rPr>
            </w:pPr>
            <w:r>
              <w:rPr>
                <w:rFonts w:ascii="Times New Roman" w:cs="Times New Roman" w:eastAsia="Times New Roman" w:hAnsi="Times New Roman"/>
                <w:sz w:val="16"/>
                <w:szCs w:val="16"/>
                <w:color w:val="auto"/>
              </w:rPr>
              <w:t>Total non-owner occupied</w:t>
            </w: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22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commercial mortgage term</w:t>
            </w:r>
          </w:p>
        </w:tc>
        <w:tc>
          <w:tcPr>
            <w:tcW w:w="28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6,245,480</w:t>
            </w:r>
          </w:p>
        </w:tc>
        <w:tc>
          <w:tcPr>
            <w:tcW w:w="80" w:type="dxa"/>
            <w:vAlign w:val="bottom"/>
          </w:tcPr>
          <w:p>
            <w:pPr>
              <w:spacing w:after="0"/>
              <w:rPr>
                <w:sz w:val="14"/>
                <w:szCs w:val="14"/>
                <w:color w:val="auto"/>
              </w:rPr>
            </w:pPr>
          </w:p>
        </w:tc>
        <w:tc>
          <w:tcPr>
            <w:tcW w:w="460" w:type="dxa"/>
            <w:vAlign w:val="bottom"/>
            <w:vMerge w:val="restart"/>
          </w:tcPr>
          <w:p>
            <w:pPr>
              <w:jc w:val="right"/>
              <w:ind w:right="278"/>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8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32.79 %</w:t>
            </w:r>
          </w:p>
        </w:tc>
        <w:tc>
          <w:tcPr>
            <w:tcW w:w="100" w:type="dxa"/>
            <w:vAlign w:val="bottom"/>
          </w:tcPr>
          <w:p>
            <w:pPr>
              <w:spacing w:after="0"/>
              <w:rPr>
                <w:sz w:val="14"/>
                <w:szCs w:val="14"/>
                <w:color w:val="auto"/>
              </w:rPr>
            </w:pPr>
          </w:p>
        </w:tc>
        <w:tc>
          <w:tcPr>
            <w:tcW w:w="1460" w:type="dxa"/>
            <w:vAlign w:val="bottom"/>
            <w:vMerge w:val="restart"/>
          </w:tcPr>
          <w:p>
            <w:pPr>
              <w:ind w:left="1080"/>
              <w:spacing w:after="0"/>
              <w:rPr>
                <w:sz w:val="20"/>
                <w:szCs w:val="20"/>
                <w:color w:val="auto"/>
              </w:rPr>
            </w:pPr>
            <w:r>
              <w:rPr>
                <w:rFonts w:ascii="Times New Roman" w:cs="Times New Roman" w:eastAsia="Times New Roman" w:hAnsi="Times New Roman"/>
                <w:sz w:val="18"/>
                <w:szCs w:val="18"/>
                <w:color w:val="auto"/>
                <w:w w:val="95"/>
              </w:rPr>
              <w:t>54 %</w:t>
            </w:r>
          </w:p>
        </w:tc>
        <w:tc>
          <w:tcPr>
            <w:tcW w:w="10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0.19 %</w:t>
            </w:r>
          </w:p>
        </w:tc>
        <w:tc>
          <w:tcPr>
            <w:tcW w:w="10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0.69 %</w:t>
            </w:r>
          </w:p>
        </w:tc>
        <w:tc>
          <w:tcPr>
            <w:tcW w:w="0" w:type="dxa"/>
            <w:vAlign w:val="bottom"/>
          </w:tcPr>
          <w:p>
            <w:pPr>
              <w:spacing w:after="0"/>
              <w:rPr>
                <w:sz w:val="1"/>
                <w:szCs w:val="1"/>
                <w:color w:val="auto"/>
              </w:rPr>
            </w:pPr>
          </w:p>
        </w:tc>
      </w:tr>
      <w:tr>
        <w:trPr>
          <w:trHeight w:val="216"/>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w:t>
            </w:r>
          </w:p>
        </w:tc>
        <w:tc>
          <w:tcPr>
            <w:tcW w:w="28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 Weighted-average loan-to-value is calculated using the most recent appraisal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The following table sets forth the fixed and variable rate loans maturing or scheduled to reprice after one year as of December 31, 2025:</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Interest Sensitivity</w:t>
            </w:r>
          </w:p>
        </w:tc>
      </w:tr>
      <w:tr>
        <w:trPr>
          <w:trHeight w:val="165"/>
        </w:trPr>
        <w:tc>
          <w:tcPr>
            <w:tcW w:w="8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jc w:val="center"/>
              <w:ind w:right="400"/>
              <w:spacing w:after="0" w:line="164" w:lineRule="exact"/>
              <w:rPr>
                <w:sz w:val="20"/>
                <w:szCs w:val="20"/>
                <w:color w:val="auto"/>
              </w:rPr>
            </w:pPr>
            <w:r>
              <w:rPr>
                <w:rFonts w:ascii="Times New Roman" w:cs="Times New Roman" w:eastAsia="Times New Roman" w:hAnsi="Times New Roman"/>
                <w:sz w:val="18"/>
                <w:szCs w:val="18"/>
                <w:b w:val="1"/>
                <w:bCs w:val="1"/>
                <w:color w:val="auto"/>
                <w:w w:val="92"/>
              </w:rPr>
              <w:t>Fixed</w:t>
            </w:r>
          </w:p>
        </w:tc>
        <w:tc>
          <w:tcPr>
            <w:tcW w:w="260" w:type="dxa"/>
            <w:vAlign w:val="bottom"/>
          </w:tcPr>
          <w:p>
            <w:pPr>
              <w:spacing w:after="0"/>
              <w:rPr>
                <w:sz w:val="14"/>
                <w:szCs w:val="14"/>
                <w:color w:val="auto"/>
              </w:rPr>
            </w:pPr>
          </w:p>
        </w:tc>
        <w:tc>
          <w:tcPr>
            <w:tcW w:w="1180" w:type="dxa"/>
            <w:vAlign w:val="bottom"/>
          </w:tcPr>
          <w:p>
            <w:pPr>
              <w:jc w:val="right"/>
              <w:ind w:right="312"/>
              <w:spacing w:after="0" w:line="164" w:lineRule="exact"/>
              <w:rPr>
                <w:sz w:val="20"/>
                <w:szCs w:val="20"/>
                <w:color w:val="auto"/>
              </w:rPr>
            </w:pPr>
            <w:r>
              <w:rPr>
                <w:rFonts w:ascii="Times New Roman" w:cs="Times New Roman" w:eastAsia="Times New Roman" w:hAnsi="Times New Roman"/>
                <w:sz w:val="18"/>
                <w:szCs w:val="18"/>
                <w:b w:val="1"/>
                <w:bCs w:val="1"/>
                <w:color w:val="auto"/>
              </w:rPr>
              <w:t>Variable</w:t>
            </w:r>
          </w:p>
        </w:tc>
      </w:tr>
      <w:tr>
        <w:trPr>
          <w:trHeight w:val="234"/>
        </w:trPr>
        <w:tc>
          <w:tcPr>
            <w:tcW w:w="8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260" w:type="dxa"/>
            <w:vAlign w:val="bottom"/>
          </w:tcPr>
          <w:p>
            <w:pPr>
              <w:spacing w:after="0"/>
              <w:rPr>
                <w:sz w:val="20"/>
                <w:szCs w:val="20"/>
                <w:color w:val="auto"/>
              </w:rPr>
            </w:pPr>
          </w:p>
        </w:tc>
        <w:tc>
          <w:tcPr>
            <w:tcW w:w="118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Rate</w:t>
            </w:r>
          </w:p>
        </w:tc>
      </w:tr>
      <w:tr>
        <w:trPr>
          <w:trHeight w:val="22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785,832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151,090</w:t>
            </w: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4"/>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Residential</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32,175</w:t>
            </w:r>
          </w:p>
        </w:tc>
      </w:tr>
      <w:tr>
        <w:trPr>
          <w:trHeight w:val="224"/>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264,062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71,259</w:t>
            </w:r>
          </w:p>
        </w:tc>
      </w:tr>
      <w:tr>
        <w:trPr>
          <w:trHeight w:val="21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construction and land development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103,434</w:t>
            </w: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 1-4 family mortgage:</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4"/>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First lien</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1,815,802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1,529,666</w:t>
            </w:r>
          </w:p>
        </w:tc>
      </w:tr>
      <w:tr>
        <w:trPr>
          <w:trHeight w:val="224"/>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Junior lien</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9,180</w:t>
            </w:r>
          </w:p>
        </w:tc>
      </w:tr>
      <w:tr>
        <w:trPr>
          <w:trHeight w:val="224"/>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Home equity</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18,497</w:t>
            </w:r>
          </w:p>
        </w:tc>
      </w:tr>
      <w:tr>
        <w:trPr>
          <w:trHeight w:val="21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real estate – 1-4 family mortgage</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1,848,602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1,557,343</w:t>
            </w: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 - owner occupied</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1,662,135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206,404</w:t>
            </w: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 - non-owner occupied</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4"/>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Multi family</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74,700</w:t>
            </w:r>
          </w:p>
        </w:tc>
      </w:tr>
      <w:tr>
        <w:trPr>
          <w:trHeight w:val="224"/>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1,869,694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233,349</w:t>
            </w:r>
          </w:p>
        </w:tc>
      </w:tr>
      <w:tr>
        <w:trPr>
          <w:trHeight w:val="21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commercial real estate - non-owner occupied</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2,068,333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308,049</w:t>
            </w:r>
          </w:p>
        </w:tc>
      </w:tr>
      <w:tr>
        <w:trPr>
          <w:trHeight w:val="224"/>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63,296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w:t>
            </w:r>
          </w:p>
        </w:tc>
      </w:tr>
      <w:tr>
        <w:trPr>
          <w:trHeight w:val="242"/>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loans, net of unearned income</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6,766,041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2,327,589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Deposits</w:t>
      </w:r>
    </w:p>
    <w:p>
      <w:pPr>
        <w:spacing w:after="0" w:line="1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relies on deposits as its major source of funds. Total deposits were $21,473,070 and $14,572,612 at December 31, 2025 and 2024, respectively. Noninterest-bearing deposits were $5,043,960 and $3,403,981 at December 31, 2025 and 2024, respectively, while interest-bearing deposits were $16,429,110 and $11,168,631 at December 31, 2025 and 2024, respectively. The Company did not hold any brokered deposits at December 31, 2025 or December 31, 2024. The merger with The First increased total deposits at April 1, 2025 by $6,449,393, which consisted of $1,787,866 and $4,661,528 of noninterest-bearing deposit and interest-bearing deposits, respectively.</w:t>
      </w:r>
    </w:p>
    <w:p>
      <w:pPr>
        <w:spacing w:after="0" w:line="13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Management continues to focus on growing and maintaining a stable source of funding, specifically noninterest-bearing deposits and other core deposits (that is, deposits excluding brokered deposits). Noninterest-bearing deposits increased to 23.49% of total deposits at December 31, 2025, as compared to 23.36% of total deposits at December 31, 2024, due to the assumption of noninterest-bearing deposits in connection with our acquisition of The First, offset by such deposits moving to other types of deposits or financial products bearing higher interest rates. Under certain circumstances, management may elect to acquire non-core deposits (in the form of brokered deposits) or public fund deposits (which are deposits of counties, municipalities or other political subdivisions). The source of funds that we select depends on the terms and how those terms assist us in mitigating interest rate risk, maintaining our liquidity position and managing our net interest margin as well as business opportunities that may accompany deposits we acquire. Accordingly, funds are acquired to meet anticipated funding needs at the rate and with other terms that, in management’s view, best address our interest rate risk, liquidity and net interest margin parameters.</w:t>
      </w:r>
    </w:p>
    <w:p>
      <w:pPr>
        <w:spacing w:after="0" w:line="13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Public fund deposits may be readily obtained based on the Company’s pricing bid in comparison with competitors. Public fund deposits may fluctuate as competitive and market forces change because these deposits are obtained through a bid process. Although the Company has focused on growing stable sources of deposits to reduce reliance on public fund deposits, it participates in the bidding process for public fund deposits when pricing and other terms make it reasonable given market conditions or when management perceives that other factors, such as the public entity’s use of our treasury management or other products and services, make such participation advisable. Our public fund transaction accounts are principally obtained from public universities and municipalities, including school boards and utilities. Public fund deposits at December 31, 2025 were $3,779,910 compared to $2,256,461 at December 31, 2024.</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44" w:name="page45"/>
    <w:bookmarkEnd w:id="44"/>
    <w:p>
      <w:pPr>
        <w:jc w:val="both"/>
        <w:spacing w:after="0" w:line="252" w:lineRule="auto"/>
        <w:rPr>
          <w:sz w:val="20"/>
          <w:szCs w:val="20"/>
          <w:color w:val="auto"/>
        </w:rPr>
      </w:pPr>
      <w:r>
        <w:rPr>
          <w:rFonts w:ascii="Times New Roman" w:cs="Times New Roman" w:eastAsia="Times New Roman" w:hAnsi="Times New Roman"/>
          <w:sz w:val="18"/>
          <w:szCs w:val="18"/>
          <w:color w:val="auto"/>
        </w:rPr>
        <w:t>Deposits that are in excess of the FDIC insurance limit were $9,844,570 and $6,489,547 at December 31, 2025 and 2024, respectively. Public fund deposits in excess of the FDIC insurance limit but that were collateralized by pledged securities in the Company’s investment portfolio and letters of credit backed by the Federal Home Loan Bank of Dallas totaled $1,732,787 and $1,147,450, respectively. The following table shows the maturity of time deposits at December 31, 2025 that are in excess of the FDIC insurance limit (or similar state deposit insurance limits) and that are otherwise uninsured: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or Less</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466,129</w:t>
            </w:r>
          </w:p>
        </w:tc>
      </w:tr>
      <w:tr>
        <w:trPr>
          <w:trHeight w:val="224"/>
        </w:trPr>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Over Three through Six Months</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456,490</w:t>
            </w:r>
          </w:p>
        </w:tc>
      </w:tr>
      <w:tr>
        <w:trPr>
          <w:trHeight w:val="224"/>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 Six through Twelve Months</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151,816</w:t>
            </w:r>
          </w:p>
        </w:tc>
      </w:tr>
      <w:tr>
        <w:trPr>
          <w:trHeight w:val="224"/>
        </w:trPr>
        <w:tc>
          <w:tcPr>
            <w:tcW w:w="9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Over 12 Months</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46,185</w:t>
            </w:r>
          </w:p>
        </w:tc>
      </w:tr>
      <w:tr>
        <w:trPr>
          <w:trHeight w:val="242"/>
        </w:trPr>
        <w:tc>
          <w:tcPr>
            <w:tcW w:w="9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1,120,620</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Borrowed Funds</w:t>
      </w:r>
    </w:p>
    <w:p>
      <w:pPr>
        <w:spacing w:after="0" w:line="16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Total borrowings include federal funds purchased, securities sold under agreements to repurchase, advances from the Federal Home Loan Bank (“FHLB”), borrowings from the Federal Reserve Discount Window, lines of credit with corresponding banks, subordinated notes and junior subordinated debentures and are classified on the Consolidated Balance Sheets as either short-term borrowings or long-term debt. Short-term borrowings have original maturities less than one year and typically include federal funds purchased, securities sold under agreements to repurchase, and short-term FHLB advances. During 2025 and 2024, we used short-term FHLB borrowings to meet anticipated short-term liquidity needs, which varied throughout the year in response to loan demand and competition for deposits. The weighted-average interest rates on outstanding advances at December 31, 2025 and 2024 were 3.75% and 4.63%, respectively. The Company assumed $298,250 of FHLB advances as a result of its merger with The First. The following table presents our short-term borrowings by type at December 31: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
        </w:trPr>
        <w:tc>
          <w:tcPr>
            <w:tcW w:w="78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7"/>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Security repurchase agreements</w:t>
            </w:r>
          </w:p>
        </w:tc>
        <w:tc>
          <w:tcPr>
            <w:tcW w:w="1000" w:type="dxa"/>
            <w:vAlign w:val="bottom"/>
            <w:shd w:val="clear" w:color="auto" w:fill="CCEEFF"/>
          </w:tcPr>
          <w:p>
            <w:pPr>
              <w:jc w:val="right"/>
              <w:ind w:right="79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8,018</w:t>
            </w:r>
          </w:p>
        </w:tc>
      </w:tr>
      <w:tr>
        <w:trPr>
          <w:trHeight w:val="224"/>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Short-term borrowings from the FHLB</w:t>
            </w: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550,000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42"/>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short-term borrowings</w:t>
            </w:r>
          </w:p>
        </w:tc>
        <w:tc>
          <w:tcPr>
            <w:tcW w:w="1000" w:type="dxa"/>
            <w:vAlign w:val="bottom"/>
            <w:tcBorders>
              <w:bottom w:val="single" w:sz="8" w:color="auto"/>
            </w:tcBorders>
            <w:shd w:val="clear" w:color="auto" w:fill="CCEEFF"/>
          </w:tcPr>
          <w:p>
            <w:pPr>
              <w:jc w:val="right"/>
              <w:ind w:right="79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555,774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108,018</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At December 31, 2025, long-term debt consists of our junior subordinated debentures and our subordinated notes; no long-term FHLB advances were outstanding. The Company assumed $95,262 of subordinated notes and $25,653 of junior subordinated debentures as a result of its merger with The First, and on October 1, 2025, the Company redeemed $60,000 of the assumed subordinated notes. The following table presents our long-term debt by type at December 31:</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
        </w:trPr>
        <w:tc>
          <w:tcPr>
            <w:tcW w:w="77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Junior subordinated debentures</w:t>
            </w:r>
          </w:p>
        </w:tc>
        <w:tc>
          <w:tcPr>
            <w:tcW w:w="980" w:type="dxa"/>
            <w:vAlign w:val="bottom"/>
            <w:shd w:val="clear" w:color="auto" w:fill="CCEEFF"/>
          </w:tcPr>
          <w:p>
            <w:pPr>
              <w:jc w:val="right"/>
              <w:ind w:right="798"/>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140,632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113,916</w:t>
            </w:r>
          </w:p>
        </w:tc>
      </w:tr>
      <w:tr>
        <w:trPr>
          <w:trHeight w:val="224"/>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Subordinated notes</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359,124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316,698</w:t>
            </w:r>
          </w:p>
        </w:tc>
      </w:tr>
      <w:tr>
        <w:trPr>
          <w:trHeight w:val="242"/>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980" w:type="dxa"/>
            <w:vAlign w:val="bottom"/>
            <w:tcBorders>
              <w:bottom w:val="single" w:sz="8" w:color="auto"/>
            </w:tcBorders>
            <w:shd w:val="clear" w:color="auto" w:fill="CCEEFF"/>
          </w:tcPr>
          <w:p>
            <w:pPr>
              <w:jc w:val="right"/>
              <w:ind w:right="798"/>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499,756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430,614</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Long-term FHLB borrowings are used to match-fund against large, fixed rate commercial or real estate loans with long-term maturities, which helps mitigate interest rate exposure when rates rise and are also used to meet day-to-day liquidity needs, particularly when the costs of such borrowings compare favorably to the rates required to attract deposits. The Company had $5,574,759 of availability on unused lines of credit with the FHLB at December 31, 2025 compared to $4,004,630 at December 31, 2024. The Company also had credit available at the Federal Reserve Discount Window in the amount of $681,719.</w:t>
      </w:r>
    </w:p>
    <w:p>
      <w:pPr>
        <w:spacing w:after="0" w:line="10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Company owns subordinated notes, the proceeds of which have been used for general corporate purposes. The subordinated notes qualify as Tier 2 capital under the current regulatory guidelines.</w:t>
      </w:r>
    </w:p>
    <w:p>
      <w:pPr>
        <w:spacing w:after="0" w:line="11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Finally, the Company owns the outstanding common securities of business trusts that issued corporation-obligated mandatorily redeemable preferred capital securities to third-party investors. The trusts used the proceeds from the issuance of their preferred capital securities and common securities (collectively referred to as “capital securities”) to buy floating rate junior subordinated debentures issued by the Company (or by companies that the Company subsequently acquired). The debentures are the trusts’ only assets and interest payments from the debentures finance the distributions paid on the capital securities.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45" w:name="page46"/>
    <w:bookmarkEnd w:id="45"/>
    <w:p>
      <w:pPr>
        <w:jc w:val="both"/>
        <w:spacing w:after="0" w:line="268" w:lineRule="auto"/>
        <w:rPr>
          <w:sz w:val="20"/>
          <w:szCs w:val="20"/>
          <w:color w:val="auto"/>
        </w:rPr>
      </w:pPr>
      <w:r>
        <w:rPr>
          <w:rFonts w:ascii="Times New Roman" w:cs="Times New Roman" w:eastAsia="Times New Roman" w:hAnsi="Times New Roman"/>
          <w:sz w:val="18"/>
          <w:szCs w:val="18"/>
          <w:color w:val="auto"/>
        </w:rPr>
        <w:t>For more information about the terms and conditions of the Company’s junior subordinated debentures and subordinated notes, see Note 12, “Long-Term Debt,” in the Notes to the Consolidated Financial Statements in Item 8, Financial Statements and Supplementary Data, in this report.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1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Net income for the year ended December 31, 2025 was $181,272 compared to net income of $195,457 for the year ended December 31, 2024. Basic earnings per share for the year ended December 31, 2025 was $2.09 as compared to $3.29 for the year ended December 31, 2024. Diluted earnings per share for the year ended December 31, 2025 was $2.07 as compared to $3.27 for the year ended December 31, 2024. As described throughout this section, the Company’s acquisition of The First on April 1, 2025 had a significant impact on our results of operations for 2025.</w:t>
      </w:r>
    </w:p>
    <w:p>
      <w:pPr>
        <w:spacing w:after="0" w:line="1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the Company incurs expenses and charges in connection with certain transactions with respect to which management is unable to accurately predict when these expenses or charges will be incurred or, when incurred, the amount of such expenses or charges. The following table presents the impact of these expenses and charges on reported EPS for the dates presented.</w:t>
      </w:r>
    </w:p>
    <w:p>
      <w:pPr>
        <w:spacing w:after="0" w:line="165"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b w:val="1"/>
          <w:bCs w:val="1"/>
          <w:color w:val="auto"/>
        </w:rPr>
        <w:t>Twelve Months Ended December 31,</w:t>
      </w:r>
    </w:p>
    <w:p>
      <w:pPr>
        <w:sectPr>
          <w:pgSz w:w="11900" w:h="16838" w:orient="portrait"/>
          <w:cols w:equalWidth="0" w:num="1">
            <w:col w:w="11240"/>
          </w:cols>
          <w:pgMar w:left="320" w:top="871" w:right="339" w:bottom="1440" w:gutter="0" w:footer="0" w:header="0"/>
        </w:sectPr>
      </w:pPr>
    </w:p>
    <w:p>
      <w:pPr>
        <w:spacing w:after="0" w:line="23" w:lineRule="exact"/>
        <w:rPr>
          <w:sz w:val="20"/>
          <w:szCs w:val="20"/>
          <w:color w:val="auto"/>
        </w:rPr>
      </w:pPr>
    </w:p>
    <w:tbl>
      <w:tblPr>
        <w:tblLayout w:type="fixed"/>
        <w:tblInd w:w="5140" w:type="dxa"/>
        <w:tblCellMar>
          <w:top w:w="0" w:type="dxa"/>
          <w:left w:w="0" w:type="dxa"/>
          <w:bottom w:w="0" w:type="dxa"/>
          <w:right w:w="0" w:type="dxa"/>
        </w:tblCellMar>
      </w:tblPr>
      <w:tr>
        <w:trPr>
          <w:trHeight w:val="224"/>
        </w:trPr>
        <w:tc>
          <w:tcPr>
            <w:tcW w:w="9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12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164"/>
        </w:trPr>
        <w:tc>
          <w:tcPr>
            <w:tcW w:w="9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Pre-tax</w:t>
            </w:r>
          </w:p>
        </w:tc>
        <w:tc>
          <w:tcPr>
            <w:tcW w:w="2040" w:type="dxa"/>
            <w:vAlign w:val="bottom"/>
          </w:tcPr>
          <w:p>
            <w:pPr>
              <w:jc w:val="right"/>
              <w:ind w:right="52"/>
              <w:spacing w:after="0" w:line="164" w:lineRule="exact"/>
              <w:rPr>
                <w:sz w:val="20"/>
                <w:szCs w:val="20"/>
                <w:color w:val="auto"/>
              </w:rPr>
            </w:pPr>
            <w:r>
              <w:rPr>
                <w:rFonts w:ascii="Times New Roman" w:cs="Times New Roman" w:eastAsia="Times New Roman" w:hAnsi="Times New Roman"/>
                <w:sz w:val="18"/>
                <w:szCs w:val="18"/>
                <w:b w:val="1"/>
                <w:bCs w:val="1"/>
                <w:color w:val="auto"/>
              </w:rPr>
              <w:t>Impact to</w:t>
            </w:r>
          </w:p>
        </w:tc>
        <w:tc>
          <w:tcPr>
            <w:tcW w:w="0" w:type="dxa"/>
            <w:vAlign w:val="bottom"/>
          </w:tcPr>
          <w:p>
            <w:pPr>
              <w:spacing w:after="0"/>
              <w:rPr>
                <w:sz w:val="1"/>
                <w:szCs w:val="1"/>
                <w:color w:val="auto"/>
              </w:rPr>
            </w:pPr>
          </w:p>
        </w:tc>
      </w:tr>
      <w:tr>
        <w:trPr>
          <w:trHeight w:val="236"/>
        </w:trPr>
        <w:tc>
          <w:tcPr>
            <w:tcW w:w="960" w:type="dxa"/>
            <w:vAlign w:val="bottom"/>
            <w:vMerge w:val="continue"/>
          </w:tcPr>
          <w:p>
            <w:pPr>
              <w:spacing w:after="0"/>
              <w:rPr>
                <w:sz w:val="20"/>
                <w:szCs w:val="20"/>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After-tax  Diluted EPS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9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12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64"/>
        </w:trPr>
        <w:tc>
          <w:tcPr>
            <w:tcW w:w="9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Pre-tax</w:t>
            </w:r>
          </w:p>
        </w:tc>
        <w:tc>
          <w:tcPr>
            <w:tcW w:w="2040" w:type="dxa"/>
            <w:vAlign w:val="bottom"/>
          </w:tcPr>
          <w:p>
            <w:pPr>
              <w:jc w:val="right"/>
              <w:ind w:right="52"/>
              <w:spacing w:after="0" w:line="164" w:lineRule="exact"/>
              <w:rPr>
                <w:sz w:val="20"/>
                <w:szCs w:val="20"/>
                <w:color w:val="auto"/>
              </w:rPr>
            </w:pPr>
            <w:r>
              <w:rPr>
                <w:rFonts w:ascii="Times New Roman" w:cs="Times New Roman" w:eastAsia="Times New Roman" w:hAnsi="Times New Roman"/>
                <w:sz w:val="18"/>
                <w:szCs w:val="18"/>
                <w:b w:val="1"/>
                <w:bCs w:val="1"/>
                <w:color w:val="auto"/>
              </w:rPr>
              <w:t>Impact to</w:t>
            </w:r>
          </w:p>
        </w:tc>
        <w:tc>
          <w:tcPr>
            <w:tcW w:w="0" w:type="dxa"/>
            <w:vAlign w:val="bottom"/>
          </w:tcPr>
          <w:p>
            <w:pPr>
              <w:spacing w:after="0"/>
              <w:rPr>
                <w:sz w:val="1"/>
                <w:szCs w:val="1"/>
                <w:color w:val="auto"/>
              </w:rPr>
            </w:pPr>
          </w:p>
        </w:tc>
      </w:tr>
      <w:tr>
        <w:trPr>
          <w:trHeight w:val="236"/>
        </w:trPr>
        <w:tc>
          <w:tcPr>
            <w:tcW w:w="960" w:type="dxa"/>
            <w:vAlign w:val="bottom"/>
            <w:vMerge w:val="continue"/>
          </w:tcPr>
          <w:p>
            <w:pPr>
              <w:spacing w:after="0"/>
              <w:rPr>
                <w:sz w:val="20"/>
                <w:szCs w:val="20"/>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After-tax  Diluted EPS</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8140" w:space="100"/>
            <w:col w:w="3000"/>
          </w:cols>
          <w:pgMar w:left="320" w:top="871" w:right="339" w:bottom="1440" w:gutter="0" w:footer="0" w:header="0"/>
          <w:type w:val="continuous"/>
        </w:sectPr>
      </w:pPr>
    </w:p>
    <w:tbl>
      <w:tblPr>
        <w:tblLayout w:type="fixed"/>
        <w:tblInd w:w="0" w:type="dxa"/>
        <w:tblCellMar>
          <w:top w:w="0" w:type="dxa"/>
          <w:left w:w="0" w:type="dxa"/>
          <w:bottom w:w="0" w:type="dxa"/>
          <w:right w:w="0" w:type="dxa"/>
        </w:tblCellMar>
      </w:tblPr>
      <w:tr>
        <w:trPr>
          <w:trHeight w:val="217"/>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MSR</w:t>
            </w:r>
          </w:p>
        </w:tc>
        <w:tc>
          <w:tcPr>
            <w:tcW w:w="1620" w:type="dxa"/>
            <w:vAlign w:val="bottom"/>
            <w:tcBorders>
              <w:top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240" w:type="dxa"/>
            <w:vAlign w:val="bottom"/>
            <w:tcBorders>
              <w:top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320" w:type="dxa"/>
            <w:vAlign w:val="bottom"/>
            <w:tcBorders>
              <w:top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0.01</w:t>
            </w: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w:t>
            </w: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34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24"/>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insurance agency</w:t>
            </w:r>
          </w:p>
        </w:tc>
        <w:tc>
          <w:tcPr>
            <w:tcW w:w="16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53,349</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38,951</w:t>
            </w: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r>
      <w:tr>
        <w:trPr>
          <w:trHeight w:val="224"/>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Merger and conversion expenses</w:t>
            </w:r>
          </w:p>
        </w:tc>
        <w:tc>
          <w:tcPr>
            <w:tcW w:w="16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(49,331)</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(37,620)</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(0.43)</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(13,349)</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(11,395)</w:t>
            </w: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r>
      <w:tr>
        <w:trPr>
          <w:trHeight w:val="228"/>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Day 1 acquisition provision</w:t>
            </w:r>
          </w:p>
        </w:tc>
        <w:tc>
          <w:tcPr>
            <w:tcW w:w="16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(66,612)</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(50,026)</w:t>
            </w:r>
          </w:p>
        </w:tc>
        <w:tc>
          <w:tcPr>
            <w:tcW w:w="320" w:type="dxa"/>
            <w:vAlign w:val="bottom"/>
          </w:tcPr>
          <w:p>
            <w:pPr>
              <w:spacing w:after="0"/>
              <w:rPr>
                <w:sz w:val="19"/>
                <w:szCs w:val="19"/>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(0.57)</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Interest Income</w:t>
      </w:r>
    </w:p>
    <w:p>
      <w:pPr>
        <w:spacing w:after="0" w:line="1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interest income, the difference between interest earned on assets and the cost of interest-bearing liabilities, is the largest component of our net income, comprising 81.86% of total net revenue in 2025. Total net revenue consists of net interest income on a fully taxable equivalent basis and noninterest income. Changes in net interest income are driven by fluctuations in the volume, mix and repricing of assets and liabilities.</w:t>
      </w:r>
    </w:p>
    <w:p>
      <w:pPr>
        <w:spacing w:after="0" w:line="12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As discussed below, net interest income increased 56.97% to $803,969 for 2025 compared to $512,196 in 2024. On a tax equivalent basis, net interest income increased $298,115 to $820,641 in 2025 as compared to $522,526 in 2024. Net interest margin was 3.79% for 2025 as compared to 3.34% for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type w:val="continuous"/>
        </w:sectPr>
      </w:pPr>
    </w:p>
    <w:bookmarkStart w:id="46" w:name="page47"/>
    <w:bookmarkEnd w:id="46"/>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 sets forth the daily average balance sheet data, including all major categories of interest-earning assets and interest-bearing liabilities, together with the interest earned or interest paid and the average yield or average rate on each such category for the years ended December 31, 2025, 2024 and 2023:</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1"/>
                <w:szCs w:val="11"/>
                <w:color w:val="auto"/>
              </w:rPr>
            </w:pPr>
          </w:p>
        </w:tc>
        <w:tc>
          <w:tcPr>
            <w:tcW w:w="720" w:type="dxa"/>
            <w:vAlign w:val="bottom"/>
          </w:tcPr>
          <w:p>
            <w:pPr>
              <w:ind w:left="60"/>
              <w:spacing w:after="0" w:line="127"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1"/>
                <w:szCs w:val="11"/>
                <w:color w:val="auto"/>
              </w:rPr>
            </w:pPr>
          </w:p>
        </w:tc>
        <w:tc>
          <w:tcPr>
            <w:tcW w:w="8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160" w:type="dxa"/>
            <w:vAlign w:val="bottom"/>
          </w:tcPr>
          <w:p>
            <w:pPr>
              <w:spacing w:after="0"/>
              <w:rPr>
                <w:sz w:val="11"/>
                <w:szCs w:val="11"/>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1"/>
                <w:szCs w:val="11"/>
                <w:color w:val="auto"/>
              </w:rPr>
            </w:pPr>
          </w:p>
        </w:tc>
        <w:tc>
          <w:tcPr>
            <w:tcW w:w="700" w:type="dxa"/>
            <w:vAlign w:val="bottom"/>
          </w:tcPr>
          <w:p>
            <w:pPr>
              <w:ind w:left="60"/>
              <w:spacing w:after="0" w:line="127"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1"/>
                <w:szCs w:val="11"/>
                <w:color w:val="auto"/>
              </w:rPr>
            </w:pPr>
          </w:p>
        </w:tc>
        <w:tc>
          <w:tcPr>
            <w:tcW w:w="8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160" w:type="dxa"/>
            <w:vAlign w:val="bottom"/>
          </w:tcPr>
          <w:p>
            <w:pPr>
              <w:spacing w:after="0"/>
              <w:rPr>
                <w:sz w:val="11"/>
                <w:szCs w:val="11"/>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1"/>
                <w:szCs w:val="11"/>
                <w:color w:val="auto"/>
              </w:rPr>
            </w:pPr>
          </w:p>
        </w:tc>
        <w:tc>
          <w:tcPr>
            <w:tcW w:w="700" w:type="dxa"/>
            <w:vAlign w:val="bottom"/>
          </w:tcPr>
          <w:p>
            <w:pPr>
              <w:ind w:left="60"/>
              <w:spacing w:after="0" w:line="127"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1"/>
                <w:szCs w:val="11"/>
                <w:color w:val="auto"/>
              </w:rPr>
            </w:pPr>
          </w:p>
        </w:tc>
        <w:tc>
          <w:tcPr>
            <w:tcW w:w="780" w:type="dxa"/>
            <w:vAlign w:val="bottom"/>
            <w:vMerge w:val="restart"/>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0" w:type="dxa"/>
            <w:vAlign w:val="bottom"/>
          </w:tcPr>
          <w:p>
            <w:pPr>
              <w:spacing w:after="0"/>
              <w:rPr>
                <w:sz w:val="1"/>
                <w:szCs w:val="1"/>
                <w:color w:val="auto"/>
              </w:rPr>
            </w:pPr>
          </w:p>
        </w:tc>
      </w:tr>
      <w:tr>
        <w:trPr>
          <w:trHeight w:val="143"/>
        </w:trPr>
        <w:tc>
          <w:tcPr>
            <w:tcW w:w="2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ind w:left="40"/>
              <w:spacing w:after="0" w:line="143" w:lineRule="exact"/>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ind w:left="40"/>
              <w:spacing w:after="0" w:line="143" w:lineRule="exact"/>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40" w:type="dxa"/>
            <w:vAlign w:val="bottom"/>
          </w:tcPr>
          <w:p>
            <w:pPr>
              <w:spacing w:after="0"/>
              <w:rPr>
                <w:sz w:val="16"/>
                <w:szCs w:val="16"/>
                <w:color w:val="auto"/>
              </w:rPr>
            </w:pPr>
          </w:p>
        </w:tc>
        <w:tc>
          <w:tcPr>
            <w:tcW w:w="7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00" w:type="dxa"/>
            <w:vAlign w:val="bottom"/>
          </w:tcPr>
          <w:p>
            <w:pPr>
              <w:spacing w:after="0"/>
              <w:rPr>
                <w:sz w:val="16"/>
                <w:szCs w:val="16"/>
                <w:color w:val="auto"/>
              </w:rPr>
            </w:pP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60" w:type="dxa"/>
            <w:vAlign w:val="bottom"/>
          </w:tcPr>
          <w:p>
            <w:pPr>
              <w:spacing w:after="0"/>
              <w:rPr>
                <w:sz w:val="16"/>
                <w:szCs w:val="16"/>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Pr>
          <w:p>
            <w:pPr>
              <w:spacing w:after="0"/>
              <w:rPr>
                <w:sz w:val="16"/>
                <w:szCs w:val="16"/>
                <w:color w:val="auto"/>
              </w:rPr>
            </w:pPr>
          </w:p>
        </w:tc>
        <w:tc>
          <w:tcPr>
            <w:tcW w:w="7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20" w:type="dxa"/>
            <w:vAlign w:val="bottom"/>
          </w:tcPr>
          <w:p>
            <w:pPr>
              <w:spacing w:after="0"/>
              <w:rPr>
                <w:sz w:val="16"/>
                <w:szCs w:val="16"/>
                <w:color w:val="auto"/>
              </w:rPr>
            </w:pP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60" w:type="dxa"/>
            <w:vAlign w:val="bottom"/>
          </w:tcPr>
          <w:p>
            <w:pPr>
              <w:spacing w:after="0"/>
              <w:rPr>
                <w:sz w:val="16"/>
                <w:szCs w:val="16"/>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Pr>
          <w:p>
            <w:pPr>
              <w:spacing w:after="0"/>
              <w:rPr>
                <w:sz w:val="16"/>
                <w:szCs w:val="16"/>
                <w:color w:val="auto"/>
              </w:rPr>
            </w:pPr>
          </w:p>
        </w:tc>
        <w:tc>
          <w:tcPr>
            <w:tcW w:w="7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00" w:type="dxa"/>
            <w:vAlign w:val="bottom"/>
          </w:tcPr>
          <w:p>
            <w:pPr>
              <w:spacing w:after="0"/>
              <w:rPr>
                <w:sz w:val="16"/>
                <w:szCs w:val="16"/>
                <w:color w:val="auto"/>
              </w:rPr>
            </w:pPr>
          </w:p>
        </w:tc>
        <w:tc>
          <w:tcPr>
            <w:tcW w:w="780" w:type="dxa"/>
            <w:vAlign w:val="bottom"/>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183"/>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1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Interest-earning assets:</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62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4"/>
                <w:szCs w:val="14"/>
                <w:color w:val="auto"/>
              </w:rPr>
              <w:t>Loans held for investment</w:t>
            </w:r>
            <w:r>
              <w:rPr>
                <w:rFonts w:ascii="Times New Roman" w:cs="Times New Roman" w:eastAsia="Times New Roman" w:hAnsi="Times New Roman"/>
                <w:sz w:val="18"/>
                <w:szCs w:val="18"/>
                <w:color w:val="auto"/>
                <w:vertAlign w:val="superscript"/>
              </w:rPr>
              <w:t>(1)</w:t>
            </w: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17,322,283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1,125,908</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12,579,143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801,807</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6.37 %</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11,963,141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713,897</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5.97 %</w:t>
            </w:r>
          </w:p>
        </w:tc>
        <w:tc>
          <w:tcPr>
            <w:tcW w:w="0" w:type="dxa"/>
            <w:vAlign w:val="bottom"/>
          </w:tcPr>
          <w:p>
            <w:pPr>
              <w:spacing w:after="0"/>
              <w:rPr>
                <w:sz w:val="1"/>
                <w:szCs w:val="1"/>
                <w:color w:val="auto"/>
              </w:rPr>
            </w:pPr>
          </w:p>
        </w:tc>
      </w:tr>
      <w:tr>
        <w:trPr>
          <w:trHeight w:val="183"/>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held for sale</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258,638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15,939</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6.16 %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224,734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13,614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6.06 %</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181,253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11,807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6.51 %</w:t>
            </w:r>
          </w:p>
        </w:tc>
        <w:tc>
          <w:tcPr>
            <w:tcW w:w="0" w:type="dxa"/>
            <w:vAlign w:val="bottom"/>
          </w:tcPr>
          <w:p>
            <w:pPr>
              <w:spacing w:after="0"/>
              <w:rPr>
                <w:sz w:val="1"/>
                <w:szCs w:val="1"/>
                <w:color w:val="auto"/>
              </w:rPr>
            </w:pPr>
          </w:p>
        </w:tc>
      </w:tr>
      <w:tr>
        <w:trPr>
          <w:trHeight w:val="164"/>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Securities:</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620" w:type="dxa"/>
            <w:vAlign w:val="bottom"/>
          </w:tcPr>
          <w:p>
            <w:pPr>
              <w:ind w:left="180"/>
              <w:spacing w:after="0" w:line="245" w:lineRule="exact"/>
              <w:rPr>
                <w:sz w:val="20"/>
                <w:szCs w:val="20"/>
                <w:color w:val="auto"/>
              </w:rPr>
            </w:pPr>
            <w:r>
              <w:rPr>
                <w:rFonts w:ascii="Times New Roman" w:cs="Times New Roman" w:eastAsia="Times New Roman" w:hAnsi="Times New Roman"/>
                <w:sz w:val="14"/>
                <w:szCs w:val="14"/>
                <w:color w:val="auto"/>
              </w:rPr>
              <w:t>Taxable</w:t>
            </w:r>
            <w:r>
              <w:rPr>
                <w:rFonts w:ascii="Times New Roman" w:cs="Times New Roman" w:eastAsia="Times New Roman" w:hAnsi="Times New Roman"/>
                <w:sz w:val="22"/>
                <w:szCs w:val="22"/>
                <w:color w:val="auto"/>
                <w:vertAlign w:val="superscript"/>
              </w:rPr>
              <w:t>(2)</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2,872,476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90,117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3.14 %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1,825,404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37,383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2.05 %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2,313,874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44,619</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1.93 %</w:t>
            </w:r>
          </w:p>
        </w:tc>
        <w:tc>
          <w:tcPr>
            <w:tcW w:w="0" w:type="dxa"/>
            <w:vAlign w:val="bottom"/>
          </w:tcPr>
          <w:p>
            <w:pPr>
              <w:spacing w:after="0"/>
              <w:rPr>
                <w:sz w:val="1"/>
                <w:szCs w:val="1"/>
                <w:color w:val="auto"/>
              </w:rPr>
            </w:pPr>
          </w:p>
        </w:tc>
      </w:tr>
      <w:tr>
        <w:trPr>
          <w:trHeight w:val="197"/>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Tax-exempt</w:t>
            </w: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396,649</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13,695</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3.45 %</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264,615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5,746</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2.17 %</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332,749</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7,634</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2.29 %</w:t>
            </w:r>
          </w:p>
        </w:tc>
        <w:tc>
          <w:tcPr>
            <w:tcW w:w="0" w:type="dxa"/>
            <w:vAlign w:val="bottom"/>
          </w:tcPr>
          <w:p>
            <w:pPr>
              <w:spacing w:after="0"/>
              <w:rPr>
                <w:sz w:val="1"/>
                <w:szCs w:val="1"/>
                <w:color w:val="auto"/>
              </w:rPr>
            </w:pPr>
          </w:p>
        </w:tc>
      </w:tr>
      <w:tr>
        <w:trPr>
          <w:trHeight w:val="183"/>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securities</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3,269,125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103,812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3.18 %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2,090,019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43,129</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2.06 %</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2,646,623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52,253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1.97 %</w:t>
            </w:r>
          </w:p>
        </w:tc>
        <w:tc>
          <w:tcPr>
            <w:tcW w:w="0" w:type="dxa"/>
            <w:vAlign w:val="bottom"/>
          </w:tcPr>
          <w:p>
            <w:pPr>
              <w:spacing w:after="0"/>
              <w:rPr>
                <w:sz w:val="1"/>
                <w:szCs w:val="1"/>
                <w:color w:val="auto"/>
              </w:rPr>
            </w:pPr>
          </w:p>
        </w:tc>
      </w:tr>
      <w:tr>
        <w:trPr>
          <w:trHeight w:val="205"/>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Interest-bearing balances with banks</w:t>
            </w: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831,119</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33,272</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4.00 %</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772,274</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39,557</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5.12 %</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568,155</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30,375</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5.35 %</w:t>
            </w:r>
          </w:p>
        </w:tc>
        <w:tc>
          <w:tcPr>
            <w:tcW w:w="0" w:type="dxa"/>
            <w:vAlign w:val="bottom"/>
          </w:tcPr>
          <w:p>
            <w:pPr>
              <w:spacing w:after="0"/>
              <w:rPr>
                <w:sz w:val="1"/>
                <w:szCs w:val="1"/>
                <w:color w:val="auto"/>
              </w:rPr>
            </w:pPr>
          </w:p>
        </w:tc>
      </w:tr>
      <w:tr>
        <w:trPr>
          <w:trHeight w:val="183"/>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interest-earning assets</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21,681,165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1,278,931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5.90 %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15,666,170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898,107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5.73 %</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15,359,172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808,332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5.26 %</w:t>
            </w:r>
          </w:p>
        </w:tc>
        <w:tc>
          <w:tcPr>
            <w:tcW w:w="0" w:type="dxa"/>
            <w:vAlign w:val="bottom"/>
          </w:tcPr>
          <w:p>
            <w:pPr>
              <w:spacing w:after="0"/>
              <w:rPr>
                <w:sz w:val="1"/>
                <w:szCs w:val="1"/>
                <w:color w:val="auto"/>
              </w:rPr>
            </w:pPr>
          </w:p>
        </w:tc>
      </w:tr>
      <w:tr>
        <w:trPr>
          <w:trHeight w:val="205"/>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due from banks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283,651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188,487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187,127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1,435,443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1,006,665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1,012,239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960,071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691,373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673,345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24,360,330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17,552,695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17,231,883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 and shareholders’ equity</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Interest-bearing liabilities:</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Deposits:</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620" w:type="dxa"/>
            <w:vAlign w:val="bottom"/>
          </w:tcPr>
          <w:p>
            <w:pPr>
              <w:ind w:left="100"/>
              <w:spacing w:after="0" w:line="245" w:lineRule="exact"/>
              <w:rPr>
                <w:sz w:val="20"/>
                <w:szCs w:val="20"/>
                <w:color w:val="auto"/>
              </w:rPr>
            </w:pPr>
            <w:r>
              <w:rPr>
                <w:rFonts w:ascii="Times New Roman" w:cs="Times New Roman" w:eastAsia="Times New Roman" w:hAnsi="Times New Roman"/>
                <w:sz w:val="14"/>
                <w:szCs w:val="14"/>
                <w:color w:val="auto"/>
              </w:rPr>
              <w:t>Interest-bearing demand</w:t>
            </w:r>
            <w:r>
              <w:rPr>
                <w:rFonts w:ascii="Times New Roman" w:cs="Times New Roman" w:eastAsia="Times New Roman" w:hAnsi="Times New Roman"/>
                <w:sz w:val="22"/>
                <w:szCs w:val="22"/>
                <w:color w:val="auto"/>
                <w:vertAlign w:val="superscript"/>
              </w:rPr>
              <w:t>(3)</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10,506,888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288,114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2.74 %</w:t>
            </w:r>
          </w:p>
        </w:tc>
        <w:tc>
          <w:tcPr>
            <w:tcW w:w="100" w:type="dxa"/>
            <w:vAlign w:val="bottom"/>
          </w:tcPr>
          <w:p>
            <w:pPr>
              <w:spacing w:after="0"/>
              <w:rPr>
                <w:sz w:val="21"/>
                <w:szCs w:val="21"/>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7,254,646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226,563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3.12 %</w:t>
            </w:r>
          </w:p>
        </w:tc>
        <w:tc>
          <w:tcPr>
            <w:tcW w:w="120" w:type="dxa"/>
            <w:vAlign w:val="bottom"/>
          </w:tcPr>
          <w:p>
            <w:pPr>
              <w:spacing w:after="0"/>
              <w:rPr>
                <w:sz w:val="21"/>
                <w:szCs w:val="21"/>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6,357,753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138,730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2.18 %</w:t>
            </w:r>
          </w:p>
        </w:tc>
        <w:tc>
          <w:tcPr>
            <w:tcW w:w="0" w:type="dxa"/>
            <w:vAlign w:val="bottom"/>
          </w:tcPr>
          <w:p>
            <w:pPr>
              <w:spacing w:after="0"/>
              <w:rPr>
                <w:sz w:val="1"/>
                <w:szCs w:val="1"/>
                <w:color w:val="auto"/>
              </w:rPr>
            </w:pPr>
          </w:p>
        </w:tc>
      </w:tr>
      <w:tr>
        <w:trPr>
          <w:trHeight w:val="197"/>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Savings deposits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1,179,131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0.30 %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829,818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2,894</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0.35 %</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971,522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3,197</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0.33 %</w:t>
            </w:r>
          </w:p>
        </w:tc>
        <w:tc>
          <w:tcPr>
            <w:tcW w:w="0" w:type="dxa"/>
            <w:vAlign w:val="bottom"/>
          </w:tcPr>
          <w:p>
            <w:pPr>
              <w:spacing w:after="0"/>
              <w:rPr>
                <w:sz w:val="1"/>
                <w:szCs w:val="1"/>
                <w:color w:val="auto"/>
              </w:rPr>
            </w:pPr>
          </w:p>
        </w:tc>
      </w:tr>
      <w:tr>
        <w:trPr>
          <w:trHeight w:val="190"/>
        </w:trPr>
        <w:tc>
          <w:tcPr>
            <w:tcW w:w="2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Brokered deposits</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237,164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12,942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5.46 %</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697,699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36,039</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5.17 %</w:t>
            </w:r>
          </w:p>
        </w:tc>
        <w:tc>
          <w:tcPr>
            <w:tcW w:w="0" w:type="dxa"/>
            <w:vAlign w:val="bottom"/>
          </w:tcPr>
          <w:p>
            <w:pPr>
              <w:spacing w:after="0"/>
              <w:rPr>
                <w:sz w:val="1"/>
                <w:szCs w:val="1"/>
                <w:color w:val="auto"/>
              </w:rPr>
            </w:pPr>
          </w:p>
        </w:tc>
      </w:tr>
      <w:tr>
        <w:trPr>
          <w:trHeight w:val="205"/>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Time deposits</w:t>
            </w: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3,182,324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120,879</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3.80 %</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2,466,906</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104,193</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4.22 %</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1,874,224</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54,365</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2.90 %</w:t>
            </w:r>
          </w:p>
        </w:tc>
        <w:tc>
          <w:tcPr>
            <w:tcW w:w="0" w:type="dxa"/>
            <w:vAlign w:val="bottom"/>
          </w:tcPr>
          <w:p>
            <w:pPr>
              <w:spacing w:after="0"/>
              <w:rPr>
                <w:sz w:val="1"/>
                <w:szCs w:val="1"/>
                <w:color w:val="auto"/>
              </w:rPr>
            </w:pPr>
          </w:p>
        </w:tc>
      </w:tr>
      <w:tr>
        <w:trPr>
          <w:trHeight w:val="183"/>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interest-bearing deposits</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14,868,343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412,553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2.77 %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10,788,534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346,592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3.21 %</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9,901,198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232,331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2.35 %</w:t>
            </w:r>
          </w:p>
        </w:tc>
        <w:tc>
          <w:tcPr>
            <w:tcW w:w="0" w:type="dxa"/>
            <w:vAlign w:val="bottom"/>
          </w:tcPr>
          <w:p>
            <w:pPr>
              <w:spacing w:after="0"/>
              <w:rPr>
                <w:sz w:val="1"/>
                <w:szCs w:val="1"/>
                <w:color w:val="auto"/>
              </w:rPr>
            </w:pPr>
          </w:p>
        </w:tc>
      </w:tr>
      <w:tr>
        <w:trPr>
          <w:trHeight w:val="205"/>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Borrowed funds</w:t>
            </w: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951,134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45,737</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4.81 %</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566,332</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28,989</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5.12 %</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890,765</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45,661</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5.13 %</w:t>
            </w:r>
          </w:p>
        </w:tc>
        <w:tc>
          <w:tcPr>
            <w:tcW w:w="0" w:type="dxa"/>
            <w:vAlign w:val="bottom"/>
          </w:tcPr>
          <w:p>
            <w:pPr>
              <w:spacing w:after="0"/>
              <w:rPr>
                <w:sz w:val="1"/>
                <w:szCs w:val="1"/>
                <w:color w:val="auto"/>
              </w:rPr>
            </w:pPr>
          </w:p>
        </w:tc>
      </w:tr>
      <w:tr>
        <w:trPr>
          <w:trHeight w:val="183"/>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interest-bearing liabilities</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15,819,477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458,290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11,354,866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375,581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3.31 %</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10,791,963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277,992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2.58 %</w:t>
            </w:r>
          </w:p>
        </w:tc>
        <w:tc>
          <w:tcPr>
            <w:tcW w:w="0" w:type="dxa"/>
            <w:vAlign w:val="bottom"/>
          </w:tcPr>
          <w:p>
            <w:pPr>
              <w:spacing w:after="0"/>
              <w:rPr>
                <w:sz w:val="1"/>
                <w:szCs w:val="1"/>
                <w:color w:val="auto"/>
              </w:rPr>
            </w:pPr>
          </w:p>
        </w:tc>
      </w:tr>
      <w:tr>
        <w:trPr>
          <w:trHeight w:val="205"/>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4,769,403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3,509,958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3,979,951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246,895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221,487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235,463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3,524,555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2,466,384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2,224,506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24,360,330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17,552,695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17,231,883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interest income/ net interest margin</w:t>
            </w:r>
          </w:p>
        </w:tc>
        <w:tc>
          <w:tcPr>
            <w:tcW w:w="1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820,641</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3.79 %</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522,526</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3.34 %</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530,340</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3.45 %</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-3249930</wp:posOffset>
            </wp:positionV>
            <wp:extent cx="7135495" cy="1250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5495" cy="12509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-1703705</wp:posOffset>
            </wp:positionV>
            <wp:extent cx="7135495" cy="1250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5495" cy="125095"/>
                    </a:xfrm>
                    <a:prstGeom prst="rect">
                      <a:avLst/>
                    </a:prstGeom>
                    <a:noFill/>
                  </pic:spPr>
                </pic:pic>
              </a:graphicData>
            </a:graphic>
          </wp:anchor>
        </w:drawing>
      </w:r>
    </w:p>
    <w:p>
      <w:pPr>
        <w:spacing w:after="0" w:line="50" w:lineRule="exact"/>
        <w:rPr>
          <w:sz w:val="20"/>
          <w:szCs w:val="20"/>
          <w:color w:val="auto"/>
        </w:rPr>
      </w:pPr>
    </w:p>
    <w:p>
      <w:pPr>
        <w:ind w:left="620" w:hanging="615"/>
        <w:spacing w:after="0"/>
        <w:tabs>
          <w:tab w:leader="none" w:pos="6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Shown net of unearned income.</w:t>
      </w:r>
    </w:p>
    <w:p>
      <w:pPr>
        <w:spacing w:after="0" w:line="12" w:lineRule="exact"/>
        <w:rPr>
          <w:rFonts w:ascii="Times New Roman" w:cs="Times New Roman" w:eastAsia="Times New Roman" w:hAnsi="Times New Roman"/>
          <w:sz w:val="14"/>
          <w:szCs w:val="14"/>
          <w:color w:val="auto"/>
        </w:rPr>
      </w:pPr>
    </w:p>
    <w:p>
      <w:pPr>
        <w:ind w:left="620" w:hanging="615"/>
        <w:spacing w:after="0"/>
        <w:tabs>
          <w:tab w:leader="none" w:pos="6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Government and some U.S. Government Agency securities are tax-exempt in the states in which we operate.</w:t>
      </w:r>
    </w:p>
    <w:p>
      <w:pPr>
        <w:spacing w:after="0" w:line="5" w:lineRule="exact"/>
        <w:rPr>
          <w:rFonts w:ascii="Times New Roman" w:cs="Times New Roman" w:eastAsia="Times New Roman" w:hAnsi="Times New Roman"/>
          <w:sz w:val="14"/>
          <w:szCs w:val="14"/>
          <w:color w:val="auto"/>
        </w:rPr>
      </w:pPr>
    </w:p>
    <w:p>
      <w:pPr>
        <w:ind w:left="620" w:hanging="615"/>
        <w:spacing w:after="0"/>
        <w:tabs>
          <w:tab w:leader="none" w:pos="6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Interest-bearing demand deposits include interest-bearing transactional accounts and money market deposits.</w:t>
      </w:r>
    </w:p>
    <w:p>
      <w:pPr>
        <w:spacing w:after="0" w:line="3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daily average balances of nonaccruing assets are included in the foregoing table. Interest income and weighted average yields on tax-exempt loans and securities have been computed on a fully tax equivalent basis assuming a federal tax rate of 21%, and for loans, a state tax rate of 4.45%, which is net of federal tax benefit.</w:t>
      </w:r>
    </w:p>
    <w:p>
      <w:pPr>
        <w:spacing w:after="0" w:line="12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Net interest income and net interest margin are influenced by internal and external factors. Internal factors include balance sheet changes in volume and mix as well as loan and deposit pricing decisions. External factors include changes in market interest rates, competition and the shape of the interest rate yield curve. The addition of The First’s loan portfolio and strong organic loan growth in 2025 were the largest contributing factors to the increase in net interest income for the year ended December 31, 2025, as compared to 2024. Lower interest rates and the addition of The First’s deposits generated a positive impact to both the cost and mix of our funding sources. The Company has continued its efforts to mitigate increases in the cost of funding due to competition or otherwise through maintaining noninterest-bearing deposits and staying disciplined yet competitive in pricing on interest-bearing deposits in the current rate environment.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47" w:name="page48"/>
    <w:bookmarkEnd w:id="47"/>
    <w:p>
      <w:pPr>
        <w:jc w:val="both"/>
        <w:spacing w:after="0" w:line="250" w:lineRule="auto"/>
        <w:rPr>
          <w:sz w:val="20"/>
          <w:szCs w:val="20"/>
          <w:color w:val="auto"/>
        </w:rPr>
      </w:pPr>
      <w:r>
        <w:rPr>
          <w:rFonts w:ascii="Times New Roman" w:cs="Times New Roman" w:eastAsia="Times New Roman" w:hAnsi="Times New Roman"/>
          <w:sz w:val="18"/>
          <w:szCs w:val="18"/>
          <w:color w:val="auto"/>
        </w:rPr>
        <w:t>The following table sets forth a summary of the changes in interest earned, on a tax equivalent basis, and interest paid resulting from changes in volume and rates for the Company for the years indicated. Information is provided in each category with respect to changes attributable to (1) changes in volume (changes in volume multiplied by prior yield/rate); (2) changes in yield/rate (changes in yield/rate multiplied by prior volume); and (3) changes in both yield/rate and volume (changes in yield/rate multiplied by changes in volume). The changes attributable to the combined impact of yield/rate and volume have been allocated on a pro-rata basis using the absolute ratio value of amounts calculated.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6"/>
          </w:tcPr>
          <w:p>
            <w:pPr>
              <w:jc w:val="center"/>
              <w:ind w:left="512"/>
              <w:spacing w:after="0"/>
              <w:rPr>
                <w:sz w:val="20"/>
                <w:szCs w:val="20"/>
                <w:color w:val="auto"/>
              </w:rPr>
            </w:pPr>
            <w:r>
              <w:rPr>
                <w:rFonts w:ascii="Times New Roman" w:cs="Times New Roman" w:eastAsia="Times New Roman" w:hAnsi="Times New Roman"/>
                <w:sz w:val="18"/>
                <w:szCs w:val="18"/>
                <w:b w:val="1"/>
                <w:bCs w:val="1"/>
                <w:color w:val="auto"/>
                <w:w w:val="97"/>
              </w:rPr>
              <w:t>2025 Compared to 2024</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6"/>
          </w:tcPr>
          <w:p>
            <w:pPr>
              <w:jc w:val="center"/>
              <w:ind w:left="492"/>
              <w:spacing w:after="0"/>
              <w:rPr>
                <w:sz w:val="20"/>
                <w:szCs w:val="20"/>
                <w:color w:val="auto"/>
              </w:rPr>
            </w:pPr>
            <w:r>
              <w:rPr>
                <w:rFonts w:ascii="Times New Roman" w:cs="Times New Roman" w:eastAsia="Times New Roman" w:hAnsi="Times New Roman"/>
                <w:sz w:val="18"/>
                <w:szCs w:val="18"/>
                <w:b w:val="1"/>
                <w:bCs w:val="1"/>
                <w:color w:val="auto"/>
                <w:w w:val="97"/>
              </w:rPr>
              <w:t>2024 Compared to 2023</w:t>
            </w:r>
          </w:p>
        </w:tc>
        <w:tc>
          <w:tcPr>
            <w:tcW w:w="780" w:type="dxa"/>
            <w:vAlign w:val="bottom"/>
            <w:tcBorders>
              <w:bottom w:val="single" w:sz="8" w:color="auto"/>
            </w:tcBorders>
          </w:tcPr>
          <w:p>
            <w:pPr>
              <w:spacing w:after="0"/>
              <w:rPr>
                <w:sz w:val="20"/>
                <w:szCs w:val="20"/>
                <w:color w:val="auto"/>
              </w:rPr>
            </w:pPr>
          </w:p>
        </w:tc>
      </w:tr>
      <w:tr>
        <w:trPr>
          <w:trHeight w:val="217"/>
        </w:trPr>
        <w:tc>
          <w:tcPr>
            <w:tcW w:w="4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240" w:type="dxa"/>
            <w:vAlign w:val="bottom"/>
          </w:tcPr>
          <w:p>
            <w:pPr>
              <w:spacing w:after="0"/>
              <w:rPr>
                <w:sz w:val="18"/>
                <w:szCs w:val="18"/>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4"/>
              </w:rPr>
              <w:t>Rate</w:t>
            </w:r>
          </w:p>
        </w:tc>
        <w:tc>
          <w:tcPr>
            <w:tcW w:w="320" w:type="dxa"/>
            <w:vAlign w:val="bottom"/>
          </w:tcPr>
          <w:p>
            <w:pPr>
              <w:spacing w:after="0"/>
              <w:rPr>
                <w:sz w:val="18"/>
                <w:szCs w:val="18"/>
                <w:color w:val="auto"/>
              </w:rPr>
            </w:pPr>
          </w:p>
        </w:tc>
        <w:tc>
          <w:tcPr>
            <w:tcW w:w="78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240" w:type="dxa"/>
            <w:vAlign w:val="bottom"/>
          </w:tcPr>
          <w:p>
            <w:pPr>
              <w:spacing w:after="0"/>
              <w:rPr>
                <w:sz w:val="18"/>
                <w:szCs w:val="18"/>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4"/>
              </w:rPr>
              <w:t>Rate</w:t>
            </w:r>
          </w:p>
        </w:tc>
        <w:tc>
          <w:tcPr>
            <w:tcW w:w="320" w:type="dxa"/>
            <w:vAlign w:val="bottom"/>
          </w:tcPr>
          <w:p>
            <w:pPr>
              <w:spacing w:after="0"/>
              <w:rPr>
                <w:sz w:val="18"/>
                <w:szCs w:val="18"/>
                <w:color w:val="auto"/>
              </w:rPr>
            </w:pPr>
          </w:p>
        </w:tc>
        <w:tc>
          <w:tcPr>
            <w:tcW w:w="78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04"/>
        </w:trPr>
        <w:tc>
          <w:tcPr>
            <w:tcW w:w="4080" w:type="dxa"/>
            <w:vAlign w:val="bottom"/>
            <w:tcBorders>
              <w:top w:val="single" w:sz="8" w:color="CCEEFF"/>
            </w:tcBorders>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Interest income:</w:t>
            </w: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r>
      <w:tr>
        <w:trPr>
          <w:trHeight w:val="22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307,460</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16,641</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324,101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37,847</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50,063</w:t>
            </w:r>
          </w:p>
        </w:tc>
        <w:tc>
          <w:tcPr>
            <w:tcW w:w="12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87,910</w:t>
            </w:r>
          </w:p>
        </w:tc>
      </w:tr>
      <w:tr>
        <w:trPr>
          <w:trHeight w:val="224"/>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for sale</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r>
      <w:tr>
        <w:trPr>
          <w:trHeight w:val="22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4"/>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Taxable</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(7,236)</w:t>
            </w:r>
          </w:p>
        </w:tc>
      </w:tr>
      <w:tr>
        <w:trPr>
          <w:trHeight w:val="224"/>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Tax-exempt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w:t>
            </w:r>
          </w:p>
        </w:tc>
      </w:tr>
      <w:tr>
        <w:trPr>
          <w:trHeight w:val="224"/>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Interest-bearing balances with banks</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9,182</w:t>
            </w:r>
          </w:p>
        </w:tc>
      </w:tr>
      <w:tr>
        <w:trPr>
          <w:trHeight w:val="217"/>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343,349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380,824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50,114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89,775</w:t>
            </w:r>
          </w:p>
        </w:tc>
      </w:tr>
      <w:tr>
        <w:trPr>
          <w:trHeight w:val="224"/>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Interest-bearing demand deposits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66,182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87,833</w:t>
            </w:r>
          </w:p>
        </w:tc>
      </w:tr>
      <w:tr>
        <w:trPr>
          <w:trHeight w:val="224"/>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Savings deposits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2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Brokered deposits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(23,097)</w:t>
            </w:r>
          </w:p>
        </w:tc>
      </w:tr>
      <w:tr>
        <w:trPr>
          <w:trHeight w:val="224"/>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49,828</w:t>
            </w:r>
          </w:p>
        </w:tc>
      </w:tr>
      <w:tr>
        <w:trPr>
          <w:trHeight w:val="224"/>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Borrowed funds</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(16,672)</w:t>
            </w:r>
          </w:p>
        </w:tc>
      </w:tr>
      <w:tr>
        <w:trPr>
          <w:trHeight w:val="217"/>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126,384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82,709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98,600</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97,589</w:t>
            </w:r>
          </w:p>
        </w:tc>
      </w:tr>
      <w:tr>
        <w:trPr>
          <w:trHeight w:val="217"/>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net interest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216,965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81,150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298,115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40,672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(48,486)</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(7,814)</w:t>
            </w:r>
          </w:p>
        </w:tc>
      </w:tr>
      <w:tr>
        <w:trPr>
          <w:trHeight w:val="20"/>
        </w:trPr>
        <w:tc>
          <w:tcPr>
            <w:tcW w:w="4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Interest income, on a tax equivalent basis, was $1,278,931 for 2025 compared to $898,107 for 2024, an increase of $380,824. The following table presents the percentage of total average earning assets, by type and yield, for 2025 and 2024:</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260" w:type="dxa"/>
            <w:vAlign w:val="bottom"/>
          </w:tcPr>
          <w:p>
            <w:pPr>
              <w:spacing w:after="0"/>
              <w:rPr>
                <w:sz w:val="20"/>
                <w:szCs w:val="20"/>
                <w:color w:val="auto"/>
              </w:rPr>
            </w:pPr>
          </w:p>
        </w:tc>
        <w:tc>
          <w:tcPr>
            <w:tcW w:w="256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Percentage of Total</w:t>
            </w:r>
          </w:p>
        </w:tc>
        <w:tc>
          <w:tcPr>
            <w:tcW w:w="1540" w:type="dxa"/>
            <w:vAlign w:val="bottom"/>
            <w:gridSpan w:val="3"/>
          </w:tcPr>
          <w:p>
            <w:pPr>
              <w:ind w:left="1020"/>
              <w:spacing w:after="0"/>
              <w:rPr>
                <w:sz w:val="20"/>
                <w:szCs w:val="20"/>
                <w:color w:val="auto"/>
              </w:rPr>
            </w:pPr>
            <w:r>
              <w:rPr>
                <w:rFonts w:ascii="Times New Roman" w:cs="Times New Roman" w:eastAsia="Times New Roman" w:hAnsi="Times New Roman"/>
                <w:sz w:val="18"/>
                <w:szCs w:val="18"/>
                <w:b w:val="1"/>
                <w:bCs w:val="1"/>
                <w:color w:val="auto"/>
              </w:rPr>
              <w:t>Yield</w:t>
            </w:r>
          </w:p>
        </w:tc>
        <w:tc>
          <w:tcPr>
            <w:tcW w:w="880" w:type="dxa"/>
            <w:vAlign w:val="bottom"/>
          </w:tcPr>
          <w:p>
            <w:pPr>
              <w:spacing w:after="0"/>
              <w:rPr>
                <w:sz w:val="20"/>
                <w:szCs w:val="20"/>
                <w:color w:val="auto"/>
              </w:rPr>
            </w:pPr>
          </w:p>
        </w:tc>
      </w:tr>
      <w:tr>
        <w:trPr>
          <w:trHeight w:val="217"/>
        </w:trPr>
        <w:tc>
          <w:tcPr>
            <w:tcW w:w="626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7"/>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for investment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79.90 %</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80.29 %</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7"/>
              </w:rPr>
              <w:t>6.50 %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7"/>
              </w:rPr>
              <w:t>6.37 %</w:t>
            </w:r>
          </w:p>
        </w:tc>
      </w:tr>
      <w:tr>
        <w:trPr>
          <w:trHeight w:val="224"/>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held for sale</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9"/>
                <w:szCs w:val="19"/>
                <w:color w:val="auto"/>
              </w:rPr>
            </w:pPr>
          </w:p>
        </w:tc>
        <w:tc>
          <w:tcPr>
            <w:tcW w:w="1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6.06</w:t>
            </w:r>
          </w:p>
        </w:tc>
      </w:tr>
      <w:tr>
        <w:trPr>
          <w:trHeight w:val="224"/>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15.08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13.34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2.06</w:t>
            </w:r>
          </w:p>
        </w:tc>
      </w:tr>
      <w:tr>
        <w:trPr>
          <w:trHeight w:val="224"/>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Interest-bearing balances with banks</w:t>
            </w:r>
          </w:p>
        </w:tc>
        <w:tc>
          <w:tcPr>
            <w:tcW w:w="11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5.12</w:t>
            </w:r>
          </w:p>
        </w:tc>
      </w:tr>
      <w:tr>
        <w:trPr>
          <w:trHeight w:val="242"/>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earning assets</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7"/>
              </w:rPr>
              <w:t>5.90 %</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7"/>
              </w:rPr>
              <w:t>5.73 %</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2025, interest income on loans held for investment, on a tax equivalent basis, increased $324,101 to $1,125,908 from $801,807 in 2024. This increase was primarily due to a $4,743,140 increase in our average balance of loans to $17,322,283 in 2025 from $12,579,143 in 2024, bolstered by a continued mix shift from the repricing of maturing fixed rate lower yielding assets into higher yielding assets. The increase in our average balance of loans was driven largely by the addition of $5,173,334 in loans acquired in the merger with The First, coupled with strong organic loan growth during 2025.</w:t>
      </w:r>
    </w:p>
    <w:p>
      <w:pPr>
        <w:spacing w:after="0" w:line="131"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color w:val="auto"/>
        </w:rPr>
        <w:t>The impact from interest income collected on problem loans and purchase accounting adjustments on purchased loans to total interest income on loans, loan yield and net interest margin is shown in the table below for the periods presented: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480" w:type="dxa"/>
            <w:vAlign w:val="bottom"/>
          </w:tcPr>
          <w:p>
            <w:pPr>
              <w:spacing w:after="0"/>
              <w:rPr>
                <w:sz w:val="19"/>
                <w:szCs w:val="19"/>
                <w:color w:val="auto"/>
              </w:rPr>
            </w:pPr>
          </w:p>
        </w:tc>
        <w:tc>
          <w:tcPr>
            <w:tcW w:w="3760" w:type="dxa"/>
            <w:vAlign w:val="bottom"/>
            <w:gridSpan w:val="5"/>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Twelve months ended December 31,</w:t>
            </w:r>
          </w:p>
        </w:tc>
      </w:tr>
      <w:tr>
        <w:trPr>
          <w:trHeight w:val="231"/>
        </w:trPr>
        <w:tc>
          <w:tcPr>
            <w:tcW w:w="74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7"/>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income collected on problem loans</w:t>
            </w:r>
          </w:p>
        </w:tc>
        <w:tc>
          <w:tcPr>
            <w:tcW w:w="1120" w:type="dxa"/>
            <w:vAlign w:val="bottom"/>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7,236</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770</w:t>
            </w:r>
          </w:p>
        </w:tc>
      </w:tr>
      <w:tr>
        <w:trPr>
          <w:trHeight w:val="224"/>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Accretable yield recognized on purchased loans</w:t>
            </w: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96"/>
              </w:rPr>
              <w:t>48,886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3,402</w:t>
            </w:r>
          </w:p>
        </w:tc>
      </w:tr>
      <w:tr>
        <w:trPr>
          <w:trHeight w:val="217"/>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impact to interest income on loans</w:t>
            </w:r>
          </w:p>
        </w:tc>
        <w:tc>
          <w:tcPr>
            <w:tcW w:w="1120" w:type="dxa"/>
            <w:vAlign w:val="bottom"/>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96"/>
              </w:rPr>
              <w:t>56,122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4,172</w:t>
            </w:r>
          </w:p>
        </w:tc>
      </w:tr>
      <w:tr>
        <w:trPr>
          <w:trHeight w:val="224"/>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to total loan yield</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0.32 %</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0.03 %</w:t>
            </w:r>
          </w:p>
        </w:tc>
      </w:tr>
      <w:tr>
        <w:trPr>
          <w:trHeight w:val="224"/>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to net interest margin</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0.01 %</w:t>
            </w: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48" w:name="page49"/>
    <w:bookmarkEnd w:id="48"/>
    <w:p>
      <w:pPr>
        <w:jc w:val="both"/>
        <w:spacing w:after="0" w:line="268" w:lineRule="auto"/>
        <w:rPr>
          <w:sz w:val="20"/>
          <w:szCs w:val="20"/>
          <w:color w:val="auto"/>
        </w:rPr>
      </w:pPr>
      <w:r>
        <w:rPr>
          <w:rFonts w:ascii="Times New Roman" w:cs="Times New Roman" w:eastAsia="Times New Roman" w:hAnsi="Times New Roman"/>
          <w:sz w:val="18"/>
          <w:szCs w:val="18"/>
          <w:color w:val="auto"/>
        </w:rPr>
        <w:t>Interest income on loans held for sale, on a tax equivalent basis, increased $2,325 to $15,939 in 2025 from $13,614 in 2024, due to both an increase in average balances during 2025 and an increase in the yield on loans held for sale during the year.</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2025, investment income, on a tax equivalent basis, increased $60,683 to $103,812 from $43,129 in 2024, primarily due to the acquisition of The First’s investment portfolio, as well as the increase in yield from the sale or maturity of lower yielding securities. The following table presents the taxable equivalent yield on securities for the periods presented: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40" w:type="dxa"/>
            <w:vAlign w:val="bottom"/>
            <w:gridSpan w:val="4"/>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Twelve months ended December 31,</w:t>
            </w:r>
          </w:p>
        </w:tc>
      </w:tr>
      <w:tr>
        <w:trPr>
          <w:trHeight w:val="231"/>
        </w:trPr>
        <w:tc>
          <w:tcPr>
            <w:tcW w:w="74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7"/>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Taxable equivalent interest income on securities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103,812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43,129</w:t>
            </w:r>
          </w:p>
        </w:tc>
      </w:tr>
      <w:tr>
        <w:trPr>
          <w:trHeight w:val="224"/>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securities</w:t>
            </w:r>
          </w:p>
        </w:tc>
        <w:tc>
          <w:tcPr>
            <w:tcW w:w="320" w:type="dxa"/>
            <w:vAlign w:val="bottom"/>
          </w:tcPr>
          <w:p>
            <w:pPr>
              <w:spacing w:after="0"/>
              <w:rPr>
                <w:sz w:val="19"/>
                <w:szCs w:val="19"/>
                <w:color w:val="auto"/>
              </w:rPr>
            </w:pPr>
          </w:p>
        </w:tc>
        <w:tc>
          <w:tcPr>
            <w:tcW w:w="15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3,269,125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2,090,019</w:t>
            </w:r>
          </w:p>
        </w:tc>
      </w:tr>
      <w:tr>
        <w:trPr>
          <w:trHeight w:val="224"/>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Taxable equivalent yield on securities</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2.06 %</w:t>
            </w:r>
          </w:p>
        </w:tc>
      </w:tr>
    </w:tbl>
    <w:p>
      <w:pPr>
        <w:spacing w:after="0" w:line="23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Interest expense was $458,290 in 2025 compared to $375,581 in 2024. The following table presents, by type, the Company’s funding sources, which consist of total average deposits and borrowed funds, and the total cost of each funding source for each of the years presented: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260" w:type="dxa"/>
            <w:vAlign w:val="bottom"/>
          </w:tcPr>
          <w:p>
            <w:pPr>
              <w:spacing w:after="0"/>
              <w:rPr>
                <w:sz w:val="20"/>
                <w:szCs w:val="20"/>
                <w:color w:val="auto"/>
              </w:rPr>
            </w:pPr>
          </w:p>
        </w:tc>
        <w:tc>
          <w:tcPr>
            <w:tcW w:w="256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Percentage of Total</w:t>
            </w:r>
          </w:p>
        </w:tc>
        <w:tc>
          <w:tcPr>
            <w:tcW w:w="2420" w:type="dxa"/>
            <w:vAlign w:val="bottom"/>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Cost of Funds</w:t>
            </w:r>
          </w:p>
        </w:tc>
      </w:tr>
      <w:tr>
        <w:trPr>
          <w:trHeight w:val="217"/>
        </w:trPr>
        <w:tc>
          <w:tcPr>
            <w:tcW w:w="626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7"/>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Noninterest-bearing demand</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23.16 %</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23.61 %</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5"/>
              </w:rPr>
              <w:t>— %</w:t>
            </w:r>
          </w:p>
        </w:tc>
      </w:tr>
      <w:tr>
        <w:trPr>
          <w:trHeight w:val="224"/>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Interest-bearing demand</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51.03</w:t>
            </w:r>
          </w:p>
        </w:tc>
        <w:tc>
          <w:tcPr>
            <w:tcW w:w="10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48.80</w:t>
            </w:r>
          </w:p>
        </w:tc>
        <w:tc>
          <w:tcPr>
            <w:tcW w:w="10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9"/>
                <w:szCs w:val="19"/>
                <w:color w:val="auto"/>
              </w:rPr>
            </w:pPr>
          </w:p>
        </w:tc>
        <w:tc>
          <w:tcPr>
            <w:tcW w:w="1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3.12</w:t>
            </w:r>
          </w:p>
        </w:tc>
      </w:tr>
      <w:tr>
        <w:trPr>
          <w:trHeight w:val="224"/>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Savings</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0.35</w:t>
            </w:r>
          </w:p>
        </w:tc>
      </w:tr>
      <w:tr>
        <w:trPr>
          <w:trHeight w:val="224"/>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Brokered deposits</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5.46</w:t>
            </w:r>
          </w:p>
        </w:tc>
      </w:tr>
      <w:tr>
        <w:trPr>
          <w:trHeight w:val="224"/>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15.46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16.60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4.22</w:t>
            </w:r>
          </w:p>
        </w:tc>
      </w:tr>
      <w:tr>
        <w:trPr>
          <w:trHeight w:val="224"/>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Borrowed funds</w:t>
            </w:r>
          </w:p>
        </w:tc>
        <w:tc>
          <w:tcPr>
            <w:tcW w:w="11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5.12</w:t>
            </w:r>
          </w:p>
        </w:tc>
      </w:tr>
      <w:tr>
        <w:trPr>
          <w:trHeight w:val="242"/>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deposits and borrowed funds</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7"/>
              </w:rPr>
              <w:t>2.53 %</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Interest expense on deposits was $412,553 and $346,592 for 2025 and 2024, respectively. The cost of total deposits was 2.10% and 2.42% for the years ending December 31, 2025 and 2024, respectively. The cost of interest-bearing deposits was 2.77% and 3.21% for the same respective periods. The increase in deposit expense and decrease in cost is attributable to the acquisition of The First’s deposits. The cost of total deposits was also affected by the Federal Reserve’s rate cuts during the second halves of 2024 and 2025. The payoff of higher costing brokered deposits in 2024 has also helped lower our total deposit cost. The Company has continued its efforts to maintain non-interest bearing deposits. Low cost deposits continue to be the preferred choice of funding; however, the Company may rely on brokered deposits or wholesale borrowings when advantageous or otherwise deemed advisable due to market conditions.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Interest expense on total borrowings was $45,737 and $28,989 for the years ending December 31, 2025 and 2024, respectively, while the cost of total borrowings was 4.81% and 5.12% for the years ended December 31, 2025 and 2024, respectively. The increase in interest expense on borrowings is due to higher average short-term borrowings and the additional subordinated notes and other long-term borrowings added as a result of the merger with The First.</w:t>
      </w:r>
    </w:p>
    <w:p>
      <w:pPr>
        <w:spacing w:after="0" w:line="127" w:lineRule="exact"/>
        <w:rPr>
          <w:sz w:val="20"/>
          <w:szCs w:val="20"/>
          <w:color w:val="auto"/>
        </w:rPr>
      </w:pPr>
    </w:p>
    <w:p>
      <w:pPr>
        <w:ind w:right="1040"/>
        <w:spacing w:after="0" w:line="448" w:lineRule="auto"/>
        <w:rPr>
          <w:sz w:val="20"/>
          <w:szCs w:val="20"/>
          <w:color w:val="auto"/>
        </w:rPr>
      </w:pPr>
      <w:r>
        <w:rPr>
          <w:rFonts w:ascii="Times New Roman" w:cs="Times New Roman" w:eastAsia="Times New Roman" w:hAnsi="Times New Roman"/>
          <w:sz w:val="18"/>
          <w:szCs w:val="18"/>
          <w:color w:val="auto"/>
        </w:rPr>
        <w:t xml:space="preserve">A more detailed discussion of the cost of our funding sources is set forth below under the heading “Liquidity and Capital Resources” in this item. </w:t>
      </w:r>
      <w:r>
        <w:rPr>
          <w:rFonts w:ascii="Times New Roman" w:cs="Times New Roman" w:eastAsia="Times New Roman" w:hAnsi="Times New Roman"/>
          <w:sz w:val="18"/>
          <w:szCs w:val="18"/>
          <w:i w:val="1"/>
          <w:iCs w:val="1"/>
          <w:color w:val="auto"/>
        </w:rPr>
        <w:t>Noninterest Income</w:t>
      </w:r>
    </w:p>
    <w:p>
      <w:pPr>
        <w:spacing w:after="0" w:line="2" w:lineRule="exact"/>
        <w:rPr>
          <w:sz w:val="20"/>
          <w:szCs w:val="20"/>
          <w:color w:val="auto"/>
        </w:rPr>
      </w:pPr>
    </w:p>
    <w:tbl>
      <w:tblPr>
        <w:tblLayout w:type="fixed"/>
        <w:tblInd w:w="1860" w:type="dxa"/>
        <w:tblCellMar>
          <w:top w:w="0" w:type="dxa"/>
          <w:left w:w="0" w:type="dxa"/>
          <w:bottom w:w="0" w:type="dxa"/>
          <w:right w:w="0" w:type="dxa"/>
        </w:tblCellMar>
      </w:tblPr>
      <w:tr>
        <w:trPr>
          <w:trHeight w:val="224"/>
        </w:trPr>
        <w:tc>
          <w:tcPr>
            <w:tcW w:w="2220" w:type="dxa"/>
            <w:vAlign w:val="bottom"/>
          </w:tcPr>
          <w:p>
            <w:pPr>
              <w:spacing w:after="0"/>
              <w:rPr>
                <w:sz w:val="19"/>
                <w:szCs w:val="19"/>
                <w:color w:val="auto"/>
              </w:rPr>
            </w:pPr>
          </w:p>
        </w:tc>
        <w:tc>
          <w:tcPr>
            <w:tcW w:w="532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Noninterest Income to Average Assets</w:t>
            </w:r>
          </w:p>
        </w:tc>
      </w:tr>
      <w:tr>
        <w:trPr>
          <w:trHeight w:val="231"/>
        </w:trPr>
        <w:tc>
          <w:tcPr>
            <w:tcW w:w="222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5320" w:type="dxa"/>
            <w:vAlign w:val="bottom"/>
            <w:gridSpan w:val="3"/>
          </w:tcPr>
          <w:p>
            <w:pPr>
              <w:jc w:val="right"/>
              <w:ind w:right="161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7"/>
        </w:trPr>
        <w:tc>
          <w:tcPr>
            <w:tcW w:w="222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0.75%</w:t>
            </w: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720" w:type="dxa"/>
            <w:vAlign w:val="bottom"/>
            <w:tcBorders>
              <w:top w:val="single" w:sz="8" w:color="auto"/>
            </w:tcBorders>
            <w:shd w:val="clear" w:color="auto" w:fill="CCEEFF"/>
          </w:tcPr>
          <w:p>
            <w:pPr>
              <w:jc w:val="right"/>
              <w:ind w:right="1552"/>
              <w:spacing w:after="0"/>
              <w:rPr>
                <w:sz w:val="20"/>
                <w:szCs w:val="20"/>
                <w:color w:val="auto"/>
              </w:rPr>
            </w:pPr>
            <w:r>
              <w:rPr>
                <w:rFonts w:ascii="Times New Roman" w:cs="Times New Roman" w:eastAsia="Times New Roman" w:hAnsi="Times New Roman"/>
                <w:sz w:val="18"/>
                <w:szCs w:val="18"/>
                <w:color w:val="auto"/>
              </w:rPr>
              <w:t>1.16%</w:t>
            </w:r>
          </w:p>
        </w:tc>
      </w:tr>
    </w:tbl>
    <w:p>
      <w:pPr>
        <w:spacing w:after="0" w:line="23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Total noninterest income includes fees generated from deposit services and other fees and commissions, income from our wealth management and mortgage banking operations, realized gains and losses on the sale or impairment of securities and all other noninterest income. Our focus is to develop and enhance our products that generate noninterest income in order to diversify our revenue sources. Noninterest income as a percentage of total net revenue was 18.14% and 28.05% for 2025 and 2024, respectively. Noninterest income was $181,880 for the year ended December 31, 2025, a decrease of $21,780, or 10.69%, as compared to $203,660 for 2024. The decrease in noninterest income year-over-year, both in amount and as a percentage of our total net revenue, was primarily due to the elevated level of noninterest income in 2024 resulting from the gain on sale of</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the Company’s insurance agency of $53,349, somewhat offset by additional income associated with the acquisition of The First’s operations.</w:t>
      </w:r>
    </w:p>
    <w:p>
      <w:pPr>
        <w:spacing w:after="0" w:line="16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Service charges on deposit accounts include maintenance fees on accounts, per item charges, account enhancement charges for additional packaged benefits and overdraft fees. Service charges on deposit accounts were $51,933 and $41,779 for the twelve months ended December 31, 2025 and 2024, respectively. Overdraft fees, the largest component of service charges on deposits, increased to $25,942 for the twelve months ended December 31, 2025 compared to $20,611 for the same period in 2024.</w:t>
      </w:r>
    </w:p>
    <w:p>
      <w:pPr>
        <w:spacing w:after="0" w:line="1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Fees and commissions increased to $19,796 in 2025 as compared to $16,190 in 2024. Fees and commissions include fees related to deposit services, such as ATM fees and interchange fees on debit card transactions. Interchange fees on debit card transactions, the largest component of fees and commissions, were $10,722 for the twelve months ended December 31, 2025 compared to $8,911 for the same period in 2024.</w:t>
      </w:r>
    </w:p>
    <w:p>
      <w:pPr>
        <w:spacing w:after="0" w:line="12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Our Wealth Management segment has two divisions: Trust and Financial Services. The Trust division operates on a custodial basis which includes administration of benefit plans, as well as accounting and money management for trust accounts. The division manages a number of trust accounts inclusive of personal and corporate benefit accounts, IRAs, and custodial accounts. Fees for managing these accounts are based on changes in market values of the assets under management in the account, with the amount of the fee depending on the type of account. The Financial Services division provides specialized products and services to our customers, which include fixed and variable annuities, mutual funds, and stocks offered through a third party provider. Wealth Management revenue was $31,201 for 2025 compared to $23,559 for 2024. The market value of assets under management or administration was $6,865,427 and $6,472,526 at December 31, 2025 and 2024, respectively.</w:t>
      </w:r>
    </w:p>
    <w:p>
      <w:pPr>
        <w:spacing w:after="0" w:line="13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Mortgage banking income is derived from the origination and sale of mortgage loans and the servicing of mortgage loans that the Company has sold but retained the right to service. Although loan fees and some interest income are derived from mortgage loans held for sale, the main source of income is gains from the sale of these loans in the secondary market. Originations of mortgage loans to be sold totaled $1,612,645 in 2025 and $1,400,467 in 2024. In 2025, the Company sold a portion of its mortgage servicing rights portfolio with a carrying value of $7,886 for a pre-tax gain of $1,467. In 2024, the Company sold a portion of its mortgage servicing rights portfolio with a carrying value of $19,539 for a pre-tax gain of $3,472.</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mortgage banking income included in noninterest income at December 31: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5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7"/>
        </w:trPr>
        <w:tc>
          <w:tcPr>
            <w:tcW w:w="850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8"/>
                <w:szCs w:val="18"/>
                <w:color w:val="auto"/>
              </w:rPr>
              <w:t>Gain on sales of loans, net</w:t>
            </w:r>
            <w:r>
              <w:rPr>
                <w:rFonts w:ascii="Times New Roman" w:cs="Times New Roman" w:eastAsia="Times New Roman" w:hAnsi="Times New Roman"/>
                <w:sz w:val="22"/>
                <w:szCs w:val="22"/>
                <w:color w:val="auto"/>
                <w:vertAlign w:val="superscript"/>
              </w:rPr>
              <w:t>(1)</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16,612</w:t>
            </w:r>
          </w:p>
        </w:tc>
      </w:tr>
      <w:tr>
        <w:trPr>
          <w:trHeight w:val="224"/>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Fees,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10,216</w:t>
            </w:r>
          </w:p>
        </w:tc>
      </w:tr>
      <w:tr>
        <w:trPr>
          <w:trHeight w:val="224"/>
        </w:trPr>
        <w:tc>
          <w:tcPr>
            <w:tcW w:w="850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Mortgage servicing income, net</w:t>
            </w:r>
            <w:r>
              <w:rPr>
                <w:rFonts w:ascii="Times New Roman" w:cs="Times New Roman" w:eastAsia="Times New Roman" w:hAnsi="Times New Roman"/>
                <w:sz w:val="22"/>
                <w:szCs w:val="22"/>
                <w:color w:val="auto"/>
                <w:vertAlign w:val="superscript"/>
              </w:rPr>
              <w:t>(2)</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9,548</w:t>
            </w:r>
          </w:p>
        </w:tc>
      </w:tr>
      <w:tr>
        <w:trPr>
          <w:trHeight w:val="217"/>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banking income, net</w:t>
            </w: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37,351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36,376</w:t>
            </w:r>
          </w:p>
        </w:tc>
      </w:tr>
      <w:tr>
        <w:trPr>
          <w:trHeight w:val="20"/>
        </w:trPr>
        <w:tc>
          <w:tcPr>
            <w:tcW w:w="8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9" w:lineRule="exact"/>
        <w:rPr>
          <w:sz w:val="20"/>
          <w:szCs w:val="20"/>
          <w:color w:val="auto"/>
        </w:rPr>
      </w:pPr>
    </w:p>
    <w:p>
      <w:pPr>
        <w:ind w:left="220" w:hanging="175"/>
        <w:spacing w:after="0"/>
        <w:tabs>
          <w:tab w:leader="none" w:pos="220" w:val="left"/>
        </w:tabs>
        <w:numPr>
          <w:ilvl w:val="0"/>
          <w:numId w:val="2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color w:val="auto"/>
        </w:rPr>
        <w:t>Gain on sales of loans, net includes pipeline fair value adjustments</w:t>
      </w:r>
    </w:p>
    <w:p>
      <w:pPr>
        <w:spacing w:after="0" w:line="4" w:lineRule="exact"/>
        <w:rPr>
          <w:rFonts w:ascii="Times New Roman" w:cs="Times New Roman" w:eastAsia="Times New Roman" w:hAnsi="Times New Roman"/>
          <w:sz w:val="22"/>
          <w:szCs w:val="22"/>
          <w:color w:val="auto"/>
          <w:vertAlign w:val="superscript"/>
        </w:rPr>
      </w:pPr>
    </w:p>
    <w:p>
      <w:pPr>
        <w:ind w:left="220" w:hanging="175"/>
        <w:spacing w:after="0" w:line="183" w:lineRule="auto"/>
        <w:tabs>
          <w:tab w:leader="none" w:pos="220" w:val="left"/>
        </w:tabs>
        <w:numPr>
          <w:ilvl w:val="0"/>
          <w:numId w:val="2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Mortgage servicing income, net includes gain on sale of mortgage servicing rights</w:t>
      </w:r>
    </w:p>
    <w:p>
      <w:pPr>
        <w:spacing w:after="0" w:line="13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Bank-owned life insurance (“BOLI”) income is derived from changes in the cash surrender value of the bank-owned life insurance policies and can fluctuate upon the collection of life insurance proceeds. BOLI income increased to $14,244 in 2025 as compared to $11,567 in 2024.</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noninterest income was $27,355 for 2025 compared to $15,311 for 2024. Other noninterest income includes income from our SBA banking division, our capital markets division and other miscellaneous income and can fluctuate based on production within our SBA and capital markets divisions and recognition of other seasonal income items.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Noninterest Expense</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Noninterest Expense to Average Assets</w:t>
      </w:r>
    </w:p>
    <w:p>
      <w:pPr>
        <w:spacing w:after="0" w:line="23" w:lineRule="exact"/>
        <w:rPr>
          <w:sz w:val="20"/>
          <w:szCs w:val="20"/>
          <w:color w:val="auto"/>
        </w:rPr>
      </w:pPr>
    </w:p>
    <w:tbl>
      <w:tblPr>
        <w:tblLayout w:type="fixed"/>
        <w:tblInd w:w="3400" w:type="dxa"/>
        <w:tblCellMar>
          <w:top w:w="0" w:type="dxa"/>
          <w:left w:w="0" w:type="dxa"/>
          <w:bottom w:w="0" w:type="dxa"/>
          <w:right w:w="0" w:type="dxa"/>
        </w:tblCellMar>
      </w:tblPr>
      <w:tr>
        <w:trPr>
          <w:trHeight w:val="217"/>
        </w:trPr>
        <w:tc>
          <w:tcPr>
            <w:tcW w:w="2160" w:type="dxa"/>
            <w:vAlign w:val="bottom"/>
            <w:tcBorders>
              <w:top w:val="single" w:sz="8" w:color="auto"/>
              <w:bottom w:val="single" w:sz="8" w:color="auto"/>
            </w:tcBorders>
          </w:tcPr>
          <w:p>
            <w:pPr>
              <w:jc w:val="right"/>
              <w:ind w:right="8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2160" w:type="dxa"/>
            <w:vAlign w:val="bottom"/>
            <w:tcBorders>
              <w:top w:val="single" w:sz="8" w:color="auto"/>
              <w:bottom w:val="single" w:sz="8" w:color="auto"/>
            </w:tcBorders>
          </w:tcPr>
          <w:p>
            <w:pPr>
              <w:jc w:val="right"/>
              <w:ind w:right="81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7"/>
        </w:trPr>
        <w:tc>
          <w:tcPr>
            <w:tcW w:w="2160" w:type="dxa"/>
            <w:vAlign w:val="bottom"/>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rPr>
              <w:t>2.63%</w:t>
            </w: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Noninterest expense was $651,660 and $461,618 for 2025 and 2024, respectively.</w:t>
      </w:r>
    </w:p>
    <w:p>
      <w:pPr>
        <w:spacing w:after="0" w:line="16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Salaries and employee benefits is the largest component of noninterest expense and represented 56.56% and 61.47% of total noninterest expense at December 31, 2025 and 2024, respectively. During 2025, salaries and employee benefits increased $84,795, or 29.88%, to $368,563 as compared to $283,768 for 2024. The increase in salaries and employee benefits is primarily attributable to the addition of The First’s employees, and to a lesser extent to annual merit increases implemented in April 2025.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50" w:name="page51"/>
    <w:bookmarkEnd w:id="50"/>
    <w:p>
      <w:pPr>
        <w:jc w:val="both"/>
        <w:spacing w:after="0" w:line="332" w:lineRule="auto"/>
        <w:rPr>
          <w:sz w:val="20"/>
          <w:szCs w:val="20"/>
          <w:color w:val="auto"/>
        </w:rPr>
      </w:pPr>
      <w:r>
        <w:rPr>
          <w:rFonts w:ascii="Times New Roman" w:cs="Times New Roman" w:eastAsia="Times New Roman" w:hAnsi="Times New Roman"/>
          <w:sz w:val="16"/>
          <w:szCs w:val="16"/>
          <w:color w:val="auto"/>
        </w:rPr>
        <w:t>Compensation expense recorded in connection with awards of restricted stock, which is included within salaries and employee benefits, was $15,015 and $12,736 for 2025 and 2024, respectively. A portion of the restricted stock awards in both years was subject to the satisfaction of performance-based conditions.</w:t>
      </w:r>
    </w:p>
    <w:p>
      <w:pPr>
        <w:spacing w:after="0" w:line="7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Data processing costs increased $4,674 to $20,704 in 2025 from $16,030 in 2024. The increase in data processing costs is attributable to the acquisition of The First and the cost associated with operating two core systems until conversion in August 2025. The Company continues to examine new and existing contracts to negotiate favorable terms to offset the increased variable cost components of our data processing costs, such as new accounts and increased transaction volume.</w:t>
      </w:r>
    </w:p>
    <w:p>
      <w:pPr>
        <w:spacing w:after="0" w:line="1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Net occupancy and equipment expense in 2025 was $63,651, an increase of $17,691 from $45,960 for 2024. The increase in net occupancy and equipment expense is primarily due to the additional locations and assets attributable to the merger with The First.</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Professional fees include fees for legal and accounting services, such as routine litigation matters, external audit services as well as assistance in complying with managing changes to banking and governmental regulation. Professional fees were $14,869 for 2025 as compared to $12,418 for 2024.</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Advertising and public relations expense was $18,355 for 2025, an increase of $2,145 compared to $16,210 for 2024. During 2025 and 2024, the Company contributed approximately $1,125 and $1,255, respectively, to charitable organizations and government economic development programs, which contributions are included in our advertising and public relations expense, and for which the Company received a dollar-for-dollar tax credit.</w:t>
      </w:r>
    </w:p>
    <w:p>
      <w:pPr>
        <w:spacing w:after="0" w:line="1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Amortization of intangible assets totaled $27,103 for 2025 compared to $4,691 for 2024. This amortization relates to finite-lived intangible assets which are being amortized over the useful lives as determined at acquisition. The increase for 2025 is primarily due to the addition of the core deposit intangible associated with our merger with The First. These finite-lived intangible assets have remaining estimated useful lives ranging from approximately 1 year to 10 years.</w:t>
      </w:r>
    </w:p>
    <w:p>
      <w:pPr>
        <w:spacing w:after="0" w:line="1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Communication expenses are those expenses incurred for communication to clients and between employees. Communication expenses were $13,665 for 2025 as compared to $8,379 for 2024. The increase in communication costs is attributable to the acquisition of The First and the cost associated with additional clients and employees.</w:t>
      </w:r>
    </w:p>
    <w:p>
      <w:pPr>
        <w:spacing w:after="0" w:line="12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Merger and conversion related expenses totaled $49,331 and $13,349 in 2025 and 2024, respectively. These expenses are primarily related to the completed acquisition of The First in April 2025. A portion of the expense in 2024 is also related to the sale of Renasant Insurance, Inc.</w:t>
      </w:r>
    </w:p>
    <w:p>
      <w:pPr>
        <w:spacing w:after="0" w:line="1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Other noninterest expense includes business development and travel expenses, other discretionary expenses, loan fees expense, fraud losses and other miscellaneous fees and operating expenses. Other noninterest expense was $73,768 for 2025 as compared to $59,955 for 2024. Increased levels of fraud losses from, for example, counterfeit or forged checks, unauthorized debit card charges and wire fraud, is the primary reason for the increase in other noninterest expense. Working with its vendors, the Company is actively working to implement policies and procedures designed to strengthen fraud detection and prevention and curtail the losses resulting from fraud.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Efficiency Ratio</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Efficiency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2159000</wp:posOffset>
            </wp:positionH>
            <wp:positionV relativeFrom="paragraph">
              <wp:posOffset>15240</wp:posOffset>
            </wp:positionV>
            <wp:extent cx="28244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24480" cy="8255"/>
                    </a:xfrm>
                    <a:prstGeom prst="rect">
                      <a:avLst/>
                    </a:prstGeom>
                    <a:noFill/>
                  </pic:spPr>
                </pic:pic>
              </a:graphicData>
            </a:graphic>
          </wp:anchor>
        </w:drawing>
      </w:r>
    </w:p>
    <w:p>
      <w:pPr>
        <w:spacing w:after="0" w:line="10" w:lineRule="exact"/>
        <w:rPr>
          <w:sz w:val="20"/>
          <w:szCs w:val="20"/>
          <w:color w:val="auto"/>
        </w:rPr>
      </w:pPr>
    </w:p>
    <w:p>
      <w:pPr>
        <w:ind w:left="4300"/>
        <w:spacing w:after="0"/>
        <w:tabs>
          <w:tab w:leader="none" w:pos="656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2159000</wp:posOffset>
            </wp:positionH>
            <wp:positionV relativeFrom="paragraph">
              <wp:posOffset>15240</wp:posOffset>
            </wp:positionV>
            <wp:extent cx="2824480" cy="1504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24480" cy="150495"/>
                    </a:xfrm>
                    <a:prstGeom prst="rect">
                      <a:avLst/>
                    </a:prstGeom>
                    <a:noFill/>
                  </pic:spPr>
                </pic:pic>
              </a:graphicData>
            </a:graphic>
          </wp:anchor>
        </w:drawing>
      </w:r>
    </w:p>
    <w:p>
      <w:pPr>
        <w:spacing w:after="0" w:line="12" w:lineRule="exact"/>
        <w:rPr>
          <w:sz w:val="20"/>
          <w:szCs w:val="20"/>
          <w:color w:val="auto"/>
        </w:rPr>
      </w:pPr>
    </w:p>
    <w:p>
      <w:pPr>
        <w:ind w:left="4200"/>
        <w:spacing w:after="0"/>
        <w:tabs>
          <w:tab w:leader="none" w:pos="6480" w:val="left"/>
        </w:tabs>
        <w:rPr>
          <w:sz w:val="20"/>
          <w:szCs w:val="20"/>
          <w:color w:val="auto"/>
        </w:rPr>
      </w:pPr>
      <w:r>
        <w:rPr>
          <w:rFonts w:ascii="Times New Roman" w:cs="Times New Roman" w:eastAsia="Times New Roman" w:hAnsi="Times New Roman"/>
          <w:sz w:val="18"/>
          <w:szCs w:val="18"/>
          <w:color w:val="auto"/>
        </w:rPr>
        <w:t>65.00%</w:t>
      </w:r>
      <w:r>
        <w:rPr>
          <w:sz w:val="20"/>
          <w:szCs w:val="20"/>
          <w:color w:val="auto"/>
        </w:rPr>
        <w:tab/>
      </w:r>
      <w:r>
        <w:rPr>
          <w:rFonts w:ascii="Times New Roman" w:cs="Times New Roman" w:eastAsia="Times New Roman" w:hAnsi="Times New Roman"/>
          <w:sz w:val="16"/>
          <w:szCs w:val="16"/>
          <w:color w:val="auto"/>
        </w:rPr>
        <w:t>63.57%</w:t>
      </w:r>
    </w:p>
    <w:p>
      <w:pPr>
        <w:spacing w:after="0" w:line="25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efficiency ratio is a measure of productivity in the banking industry. (This ratio is a measure of our ability to turn expenses into revenue. That is, the ratio is designed to reflect the percentage of one dollar which must be expended to generate a dollar of revenue.) The Company calculates this ratio by dividing noninterest expense by the sum of net interest income on a fully tax equivalent basis and noninterest income. The gain on sale of the insurance agency that occurred in the third quarter of 2024 resulted in a significant enhancement to our efficiency ratio for 2024, while merger and conversion expenses associated with the acquisition of The First negatively impacted our efficiency ratio for 2025. We remain committed to aggressively managing our costs within the framework of our business model. Our goal is to improve the efficiency ratio over time from currently reported levels as a result of revenue growth while at the same time controlling noninterest expenses.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Income tax expense for 2025 and 2024 was $45,460 and $49,508, respectively. The effective tax rates for those years were 20.05% and 20.21%, respectively.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51" w:name="page52"/>
    <w:bookmarkEnd w:id="51"/>
    <w:p>
      <w:pPr>
        <w:jc w:val="both"/>
        <w:spacing w:after="0" w:line="256" w:lineRule="auto"/>
        <w:rPr>
          <w:sz w:val="20"/>
          <w:szCs w:val="20"/>
          <w:color w:val="auto"/>
        </w:rPr>
      </w:pPr>
      <w:r>
        <w:rPr>
          <w:rFonts w:ascii="Times New Roman" w:cs="Times New Roman" w:eastAsia="Times New Roman" w:hAnsi="Times New Roman"/>
          <w:sz w:val="18"/>
          <w:szCs w:val="18"/>
          <w:color w:val="auto"/>
        </w:rPr>
        <w:t>On July 4, 2025, the One Big Beautiful Bill Act (“OBBBA”), which contains a broad range of tax provisions, was signed into law in the U.S. While we expect to take advantage of certain provisions of this legislation, such as the reinstatement of 100% first year bonus depreciation, the OBBBA is not expected to have a material impact on the Company’s income tax expense.</w:t>
      </w:r>
    </w:p>
    <w:p>
      <w:pPr>
        <w:spacing w:after="0" w:line="12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For additional information regarding the Company’s income taxes, please refer to in Note 15, “Income Taxes,” in the Notes to Consolidated Financial Statements in Item 8, Financial Statements and Supplementary Data, in this report.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16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management of risk is an ongoing process. Primary risks that are associated with the Company include credit, interest rate and liquidity risk. Credit and interest rate risk are discussed below, while liquidity risk is discussed in the next subsection under the heading “Liquidity and Capital Resources.”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 and Allowance for Credit Losses on Loans and Unfunded Commitments</w:t>
      </w:r>
    </w:p>
    <w:p>
      <w:pPr>
        <w:spacing w:after="0" w:line="16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u w:val="single" w:color="auto"/>
          <w:color w:val="auto"/>
        </w:rPr>
        <w:t>Management of Credit Risk</w:t>
      </w:r>
      <w:r>
        <w:rPr>
          <w:rFonts w:ascii="Times New Roman" w:cs="Times New Roman" w:eastAsia="Times New Roman" w:hAnsi="Times New Roman"/>
          <w:sz w:val="18"/>
          <w:szCs w:val="18"/>
          <w:color w:val="auto"/>
        </w:rPr>
        <w:t>. Inherent in any lending activity is credit risk, that is, the risk of loss should a borrower default. Credit risk is monitored and managed on an ongoing basis by a credit administration department, a problem asset resolution committee and the Board of Directors Credit Review</w:t>
      </w:r>
    </w:p>
    <w:p>
      <w:pPr>
        <w:jc w:val="both"/>
        <w:spacing w:after="0" w:line="248" w:lineRule="auto"/>
        <w:rPr>
          <w:sz w:val="20"/>
          <w:szCs w:val="20"/>
          <w:color w:val="auto"/>
        </w:rPr>
      </w:pPr>
      <w:r>
        <w:rPr>
          <w:rFonts w:ascii="Times New Roman" w:cs="Times New Roman" w:eastAsia="Times New Roman" w:hAnsi="Times New Roman"/>
          <w:sz w:val="18"/>
          <w:szCs w:val="18"/>
          <w:color w:val="auto"/>
        </w:rPr>
        <w:t>Committee. Oversight of the Company’s lending operations (including adherence to our policies and procedures governing the loan underwriting and monitoring process), credit quality and loss mitigation are major concerns of credit administration and these committees. The Company’s central appraisal review department orders, reviews and approves third-party appraisals obtained by the Company on real estate collateral and monitors loan maturities to ensure updated appraisals are obtained. This department is managed by a State Certified General Real Estate Appraiser and employs four additional State Certified General Real Estate Appraisers and four real estate evaluators. In addition, we maintain a loan review staff to independently monitor loan quality and lending practices. Loan review personnel monitor and, if necessary, adjust the grades assigned to loans through periodic examination, focusing their review on commercial and real estate loans rather than consumer and small balance consumer mortgage loans, such as 1-4 family mortgage loans.</w:t>
      </w:r>
    </w:p>
    <w:p>
      <w:pPr>
        <w:spacing w:after="0" w:line="13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compliance with loan policy, the lending staff is given lending limits based on their knowledge and experience. In addition, each lending officer’s prior performance is evaluated for credit quality and compliance as a tool for establishing and enhancing lending limits. Before funds are advanced on consumer and commercial loans below certain dollar thresholds, loans are reviewed and scored using centralized underwriting methodologies. Loan quality, or “risk-rating,” grades are assigned based upon certain factors, which include the scoring of the loans. This information is used to assist management in monitoring credit quality. Loan requests are reviewed for approval by lenders, senior credit officers and management, based on exposure.</w:t>
      </w:r>
    </w:p>
    <w:p>
      <w:pPr>
        <w:spacing w:after="0" w:line="1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commercial and commercial real estate secured loans, internal risk-rating grades are assigned by lending, credit administration and loan review personnel, based on an analysis of the financial and collateral strength and other credit attributes underlying each loan. Loan grades range from 10 to 95, with 10 rated loans having the least credit risk. For more information about the Company’s loan grades, see the information under the heading “Credit Quality” in Note 3, “Loans,” in the Notes to Consolidated Financial Statements in Item 8, Financial Statements and Supplementary Data, in this report.</w:t>
      </w:r>
    </w:p>
    <w:p>
      <w:pPr>
        <w:spacing w:after="0" w:line="1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Management monitors loans that are past due or those that have been downgraded and are considered special mention or substandard due to a decline in the collateral value or cash flow of the debtor. Management adjusts loan grades accordingly with final approval by loan review. The problem asset resolution committee and the Board of Directors Credit Review Committee provide oversight of the management of past due and downgraded loans. Information about past due, special mention and substandard loans is used to assist management in monitoring credit quality. When the ultimate collectability of a loan’s principal is in doubt, wholly or partially, the loan is placed on nonaccrual.</w:t>
      </w:r>
    </w:p>
    <w:p>
      <w:pPr>
        <w:spacing w:after="0" w:line="13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After all collection efforts have failed, collateral securing loans may be repossessed and sold or, for loans secured by real estate, foreclosure proceedings or a deed in lieu of foreclosure initiated. Foreclosed real estate collateral is classified as other real estate owned. The real estate is marketed and sold by realtors engaged by the Bank with fees associated with the foreclosure, maintenance and marketing of the real estate being deducted from the sales price. The purchase price is applied to the outstanding other real estate owned balance. If the other real estate owned balance is greater than the sales proceeds, the deficient balance is sent to the Credit Review Committee for charge-off approval. The Company’s practice is to charge off estimated losses as soon as such loss is identified and reasonably quantified. These charge-offs reduce the allowance for credit losses on loans. Charge-offs reflect the realization of losses in the portfolio that were recognized previously through the provision for credit losses on loans.</w:t>
      </w:r>
    </w:p>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Allowance for Credit Losses on Loans; Provision for Credit Losses on Loans</w:t>
      </w:r>
      <w:r>
        <w:rPr>
          <w:rFonts w:ascii="Times New Roman" w:cs="Times New Roman" w:eastAsia="Times New Roman" w:hAnsi="Times New Roman"/>
          <w:sz w:val="18"/>
          <w:szCs w:val="18"/>
          <w:color w:val="auto"/>
        </w:rPr>
        <w:t>. The allowance for credit losses is available to absorb credit losses inherent in the loans held for investment portfolio. Loan losses are charged against the allowance for credit losses when management confirms the uncollectability of a loan balance. Subsequent recoveries, if any, are credited to the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52" w:name="page53"/>
    <w:bookmarkEnd w:id="52"/>
    <w:p>
      <w:pPr>
        <w:jc w:val="both"/>
        <w:spacing w:after="0" w:line="250" w:lineRule="auto"/>
        <w:rPr>
          <w:sz w:val="20"/>
          <w:szCs w:val="20"/>
          <w:color w:val="auto"/>
        </w:rPr>
      </w:pPr>
      <w:r>
        <w:rPr>
          <w:rFonts w:ascii="Times New Roman" w:cs="Times New Roman" w:eastAsia="Times New Roman" w:hAnsi="Times New Roman"/>
          <w:sz w:val="18"/>
          <w:szCs w:val="18"/>
          <w:color w:val="auto"/>
        </w:rPr>
        <w:t>allowance. Management evaluates the adequacy of the allowance on a quarterly basis. For an in-depth discussion of our accounting policies and our methodology for determining the appropriate level of the allowance for credit losses, please refer to the information in the “Critical Accounting Policies and Estimates” section above as well as the information under the headings “Loans and the Allowance for Credit Losses” and “Business Combinations, Accounting for Purchased Credit Deteriorated Loans and Related Assets” in Note 1, “Significant Accounting Policies,” in the Notes to Consolidated Financial Statements in Item 8, Financial Statements and Supplementary Data, in this report.</w:t>
      </w:r>
    </w:p>
    <w:p>
      <w:pPr>
        <w:spacing w:after="0" w:line="1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to its quarterly analysis of the allowance for credit losses, on a regular basis, management and the Board of Directors review loan ratios. These ratios include the allowance for credit losses as a percentage of total loans, net charge-offs as a percentage of average loans, nonperforming loans as a percentage of total loans and the allowance coverage on nonperforming loans. Also, management reviews past due ratios by officer, community bank and the Company as a whole.</w:t>
      </w:r>
    </w:p>
    <w:p>
      <w:pPr>
        <w:spacing w:after="0" w:line="13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allowance for credit losses on loans was $293,955 and $201,756 at December 31, 2025 and 2024, respectively. The following table presents the allocation of the allowance for credit losses on loans and the percentage of each loan category to total loans at December 31 for each of the years presented.</w:t>
      </w:r>
    </w:p>
    <w:p>
      <w:pPr>
        <w:sectPr>
          <w:pgSz w:w="11900" w:h="16838" w:orient="portrait"/>
          <w:cols w:equalWidth="0" w:num="1">
            <w:col w:w="11240"/>
          </w:cols>
          <w:pgMar w:left="320" w:top="871" w:right="339" w:bottom="1440" w:gutter="0" w:footer="0" w:header="0"/>
        </w:sectPr>
      </w:pPr>
    </w:p>
    <w:p>
      <w:pPr>
        <w:spacing w:after="0" w:line="1"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4105910</wp:posOffset>
            </wp:positionH>
            <wp:positionV relativeFrom="paragraph">
              <wp:posOffset>15240</wp:posOffset>
            </wp:positionV>
            <wp:extent cx="15208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20825" cy="8255"/>
                    </a:xfrm>
                    <a:prstGeom prst="rect">
                      <a:avLst/>
                    </a:prstGeom>
                    <a:noFill/>
                  </pic:spPr>
                </pic:pic>
              </a:graphicData>
            </a:graphic>
          </wp:anchor>
        </w:drawing>
      </w:r>
    </w:p>
    <w:p>
      <w:pPr>
        <w:spacing w:after="0" w:line="14" w:lineRule="exact"/>
        <w:rPr>
          <w:sz w:val="20"/>
          <w:szCs w:val="20"/>
          <w:color w:val="auto"/>
        </w:rPr>
      </w:pPr>
    </w:p>
    <w:p>
      <w:pPr>
        <w:ind w:left="6860"/>
        <w:spacing w:after="0"/>
        <w:tabs>
          <w:tab w:leader="none" w:pos="7960" w:val="left"/>
        </w:tabs>
        <w:rPr>
          <w:sz w:val="20"/>
          <w:szCs w:val="20"/>
          <w:color w:val="auto"/>
        </w:rPr>
      </w:pPr>
      <w:r>
        <w:rPr>
          <w:rFonts w:ascii="Times New Roman" w:cs="Times New Roman" w:eastAsia="Times New Roman" w:hAnsi="Times New Roman"/>
          <w:sz w:val="15"/>
          <w:szCs w:val="15"/>
          <w:b w:val="1"/>
          <w:bCs w:val="1"/>
          <w:color w:val="auto"/>
        </w:rPr>
        <w:t>Balance</w:t>
      </w:r>
      <w:r>
        <w:rPr>
          <w:sz w:val="20"/>
          <w:szCs w:val="20"/>
          <w:color w:val="auto"/>
        </w:rPr>
        <w:tab/>
      </w:r>
      <w:r>
        <w:rPr>
          <w:rFonts w:ascii="Times New Roman" w:cs="Times New Roman" w:eastAsia="Times New Roman" w:hAnsi="Times New Roman"/>
          <w:sz w:val="15"/>
          <w:szCs w:val="15"/>
          <w:b w:val="1"/>
          <w:bCs w:val="1"/>
          <w:color w:val="auto"/>
        </w:rPr>
        <w:t>% of Total</w:t>
      </w:r>
    </w:p>
    <w:p>
      <w:pPr>
        <w:spacing w:after="0" w:line="20" w:lineRule="exact"/>
        <w:rPr>
          <w:sz w:val="20"/>
          <w:szCs w:val="20"/>
          <w:color w:val="auto"/>
        </w:rPr>
      </w:pPr>
      <w:r>
        <w:rPr>
          <w:sz w:val="20"/>
          <w:szCs w:val="20"/>
          <w:color w:val="auto"/>
        </w:rPr>
        <w:br w:type="column"/>
      </w:r>
    </w:p>
    <w:p>
      <w:pPr>
        <w:ind w:left="600"/>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15240</wp:posOffset>
            </wp:positionV>
            <wp:extent cx="14452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45260" cy="8255"/>
                    </a:xfrm>
                    <a:prstGeom prst="rect">
                      <a:avLst/>
                    </a:prstGeom>
                    <a:noFill/>
                  </pic:spPr>
                </pic:pic>
              </a:graphicData>
            </a:graphic>
          </wp:anchor>
        </w:drawing>
      </w:r>
    </w:p>
    <w:p>
      <w:pPr>
        <w:spacing w:after="0" w:line="1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5"/>
          <w:szCs w:val="15"/>
          <w:b w:val="1"/>
          <w:bCs w:val="1"/>
          <w:color w:val="auto"/>
        </w:rPr>
        <w:t>Balance</w:t>
      </w:r>
      <w:r>
        <w:rPr>
          <w:sz w:val="20"/>
          <w:szCs w:val="20"/>
          <w:color w:val="auto"/>
        </w:rPr>
        <w:tab/>
      </w:r>
      <w:r>
        <w:rPr>
          <w:rFonts w:ascii="Times New Roman" w:cs="Times New Roman" w:eastAsia="Times New Roman" w:hAnsi="Times New Roman"/>
          <w:sz w:val="15"/>
          <w:szCs w:val="15"/>
          <w:b w:val="1"/>
          <w:bCs w:val="1"/>
          <w:color w:val="auto"/>
        </w:rPr>
        <w:t>% of Total</w:t>
      </w:r>
    </w:p>
    <w:p>
      <w:pPr>
        <w:spacing w:after="0" w:line="36" w:lineRule="exact"/>
        <w:rPr>
          <w:sz w:val="20"/>
          <w:szCs w:val="20"/>
          <w:color w:val="auto"/>
        </w:rPr>
      </w:pPr>
    </w:p>
    <w:p>
      <w:pPr>
        <w:sectPr>
          <w:pgSz w:w="11900" w:h="16838" w:orient="portrait"/>
          <w:cols w:equalWidth="0" w:num="2">
            <w:col w:w="8700" w:space="620"/>
            <w:col w:w="1920"/>
          </w:cols>
          <w:pgMar w:left="320" w:top="871" w:right="339" w:bottom="1440" w:gutter="0" w:footer="0" w:header="0"/>
          <w:type w:val="continuous"/>
        </w:sectPr>
      </w:pPr>
    </w:p>
    <w:tbl>
      <w:tblPr>
        <w:tblLayout w:type="fixed"/>
        <w:tblInd w:w="0" w:type="dxa"/>
        <w:tblCellMar>
          <w:top w:w="0" w:type="dxa"/>
          <w:left w:w="0" w:type="dxa"/>
          <w:bottom w:w="0" w:type="dxa"/>
          <w:right w:w="0" w:type="dxa"/>
        </w:tblCellMar>
      </w:tblPr>
      <w:tr>
        <w:trPr>
          <w:trHeight w:val="221"/>
        </w:trPr>
        <w:tc>
          <w:tcPr>
            <w:tcW w:w="6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400" w:type="dxa"/>
            <w:vAlign w:val="bottom"/>
            <w:tcBorders>
              <w:top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57,831</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19.67 %</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41,864</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20.75 %</w:t>
            </w:r>
          </w:p>
        </w:tc>
      </w:tr>
      <w:tr>
        <w:trPr>
          <w:trHeight w:val="224"/>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40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31,359</w:t>
            </w:r>
          </w:p>
        </w:tc>
        <w:tc>
          <w:tcPr>
            <w:tcW w:w="9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19,200</w:t>
            </w:r>
          </w:p>
        </w:tc>
        <w:tc>
          <w:tcPr>
            <w:tcW w:w="9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9.52</w:t>
            </w:r>
          </w:p>
        </w:tc>
      </w:tr>
      <w:tr>
        <w:trPr>
          <w:trHeight w:val="224"/>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- 1-4 family mortgage</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61,249</w:t>
            </w:r>
          </w:p>
        </w:tc>
        <w:tc>
          <w:tcPr>
            <w:tcW w:w="9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45,498</w:t>
            </w:r>
          </w:p>
        </w:tc>
        <w:tc>
          <w:tcPr>
            <w:tcW w:w="9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22.55</w:t>
            </w:r>
          </w:p>
        </w:tc>
      </w:tr>
      <w:tr>
        <w:trPr>
          <w:trHeight w:val="224"/>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 - owner occupied</w:t>
            </w:r>
          </w:p>
        </w:tc>
        <w:tc>
          <w:tcPr>
            <w:tcW w:w="40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38,961</w:t>
            </w:r>
          </w:p>
        </w:tc>
        <w:tc>
          <w:tcPr>
            <w:tcW w:w="9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16,993</w:t>
            </w:r>
          </w:p>
        </w:tc>
        <w:tc>
          <w:tcPr>
            <w:tcW w:w="9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8.42</w:t>
            </w:r>
          </w:p>
        </w:tc>
      </w:tr>
      <w:tr>
        <w:trPr>
          <w:trHeight w:val="224"/>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 - non-owner occupied</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99,605</w:t>
            </w:r>
          </w:p>
        </w:tc>
        <w:tc>
          <w:tcPr>
            <w:tcW w:w="9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33.88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71,664</w:t>
            </w:r>
          </w:p>
        </w:tc>
        <w:tc>
          <w:tcPr>
            <w:tcW w:w="9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35.52</w:t>
            </w:r>
          </w:p>
        </w:tc>
      </w:tr>
      <w:tr>
        <w:trPr>
          <w:trHeight w:val="224"/>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4,950</w:t>
            </w:r>
          </w:p>
        </w:tc>
        <w:tc>
          <w:tcPr>
            <w:tcW w:w="9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6,537</w:t>
            </w:r>
          </w:p>
        </w:tc>
        <w:tc>
          <w:tcPr>
            <w:tcW w:w="9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3.24</w:t>
            </w:r>
          </w:p>
        </w:tc>
      </w:tr>
      <w:tr>
        <w:trPr>
          <w:trHeight w:val="242"/>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293,955</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201,756</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type w:val="continuous"/>
        </w:sectPr>
      </w:pPr>
    </w:p>
    <w:bookmarkStart w:id="53" w:name="page54"/>
    <w:bookmarkEnd w:id="53"/>
    <w:tbl>
      <w:tblPr>
        <w:tblLayout w:type="fixed"/>
        <w:tblInd w:w="0" w:type="dxa"/>
        <w:tblCellMar>
          <w:top w:w="0" w:type="dxa"/>
          <w:left w:w="0" w:type="dxa"/>
          <w:bottom w:w="0" w:type="dxa"/>
          <w:right w:w="0" w:type="dxa"/>
        </w:tblCellMar>
      </w:tblPr>
      <w:tr>
        <w:trPr>
          <w:trHeight w:val="228"/>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reflects the activity in the allowance for credit losses on loans for the years ended December 31:</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87"/>
        </w:trPr>
        <w:tc>
          <w:tcPr>
            <w:tcW w:w="83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CCEEFF"/>
            </w:tcBorders>
          </w:tcPr>
          <w:p>
            <w:pPr>
              <w:spacing w:after="0"/>
              <w:rPr>
                <w:sz w:val="24"/>
                <w:szCs w:val="24"/>
                <w:color w:val="auto"/>
              </w:rPr>
            </w:pPr>
          </w:p>
        </w:tc>
      </w:tr>
      <w:tr>
        <w:trPr>
          <w:trHeight w:val="217"/>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201,756</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198,578</w:t>
            </w:r>
          </w:p>
        </w:tc>
        <w:tc>
          <w:tcPr>
            <w:tcW w:w="340" w:type="dxa"/>
            <w:vAlign w:val="bottom"/>
            <w:shd w:val="clear" w:color="auto" w:fill="CCEEFF"/>
          </w:tcPr>
          <w:p>
            <w:pPr>
              <w:spacing w:after="0"/>
              <w:rPr>
                <w:sz w:val="18"/>
                <w:szCs w:val="18"/>
                <w:color w:val="auto"/>
              </w:rPr>
            </w:pPr>
          </w:p>
        </w:tc>
      </w:tr>
      <w:tr>
        <w:trPr>
          <w:trHeight w:val="171"/>
        </w:trPr>
        <w:tc>
          <w:tcPr>
            <w:tcW w:w="834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Initial allowance for purchased loans with more than insignificant credit deterioration existing at the date of</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237"/>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25,003</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r>
      <w:tr>
        <w:trPr>
          <w:trHeight w:val="224"/>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credit losses on loans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92,573</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11,248</w:t>
            </w:r>
          </w:p>
        </w:tc>
        <w:tc>
          <w:tcPr>
            <w:tcW w:w="340" w:type="dxa"/>
            <w:vAlign w:val="bottom"/>
            <w:shd w:val="clear" w:color="auto" w:fill="CCEEFF"/>
          </w:tcPr>
          <w:p>
            <w:pPr>
              <w:spacing w:after="0"/>
              <w:rPr>
                <w:sz w:val="19"/>
                <w:szCs w:val="19"/>
                <w:color w:val="auto"/>
              </w:rPr>
            </w:pPr>
          </w:p>
        </w:tc>
      </w:tr>
      <w:tr>
        <w:trPr>
          <w:trHeight w:val="224"/>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Charge-offs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24"/>
        </w:trPr>
        <w:tc>
          <w:tcPr>
            <w:tcW w:w="8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(19,527)</w:t>
            </w:r>
          </w:p>
        </w:tc>
        <w:tc>
          <w:tcPr>
            <w:tcW w:w="58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(5,105)</w:t>
            </w:r>
          </w:p>
        </w:tc>
        <w:tc>
          <w:tcPr>
            <w:tcW w:w="340" w:type="dxa"/>
            <w:vAlign w:val="bottom"/>
            <w:shd w:val="clear" w:color="auto" w:fill="CCEEFF"/>
          </w:tcPr>
          <w:p>
            <w:pPr>
              <w:spacing w:after="0"/>
              <w:rPr>
                <w:sz w:val="19"/>
                <w:szCs w:val="19"/>
                <w:color w:val="auto"/>
              </w:rPr>
            </w:pPr>
          </w:p>
        </w:tc>
      </w:tr>
      <w:tr>
        <w:trPr>
          <w:trHeight w:val="224"/>
        </w:trPr>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340" w:type="dxa"/>
            <w:vAlign w:val="bottom"/>
          </w:tcPr>
          <w:p>
            <w:pPr>
              <w:spacing w:after="0"/>
              <w:rPr>
                <w:sz w:val="19"/>
                <w:szCs w:val="19"/>
                <w:color w:val="auto"/>
              </w:rPr>
            </w:pPr>
          </w:p>
        </w:tc>
      </w:tr>
      <w:tr>
        <w:trPr>
          <w:trHeight w:val="224"/>
        </w:trPr>
        <w:tc>
          <w:tcPr>
            <w:tcW w:w="8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Real estate - 1-4 family mortgage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340" w:type="dxa"/>
            <w:vAlign w:val="bottom"/>
            <w:shd w:val="clear" w:color="auto" w:fill="CCEEFF"/>
          </w:tcPr>
          <w:p>
            <w:pPr>
              <w:spacing w:after="0"/>
              <w:rPr>
                <w:sz w:val="19"/>
                <w:szCs w:val="19"/>
                <w:color w:val="auto"/>
              </w:rPr>
            </w:pPr>
          </w:p>
        </w:tc>
      </w:tr>
      <w:tr>
        <w:trPr>
          <w:trHeight w:val="224"/>
        </w:trPr>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real estate - owner occupied</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(5,717)</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40" w:type="dxa"/>
            <w:vAlign w:val="bottom"/>
          </w:tcPr>
          <w:p>
            <w:pPr>
              <w:spacing w:after="0"/>
              <w:rPr>
                <w:sz w:val="19"/>
                <w:szCs w:val="19"/>
                <w:color w:val="auto"/>
              </w:rPr>
            </w:pPr>
          </w:p>
        </w:tc>
      </w:tr>
      <w:tr>
        <w:trPr>
          <w:trHeight w:val="224"/>
        </w:trPr>
        <w:tc>
          <w:tcPr>
            <w:tcW w:w="8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real estate - non-owner occupied</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(5,693)</w:t>
            </w:r>
          </w:p>
        </w:tc>
        <w:tc>
          <w:tcPr>
            <w:tcW w:w="340" w:type="dxa"/>
            <w:vAlign w:val="bottom"/>
            <w:shd w:val="clear" w:color="auto" w:fill="CCEEFF"/>
          </w:tcPr>
          <w:p>
            <w:pPr>
              <w:spacing w:after="0"/>
              <w:rPr>
                <w:sz w:val="19"/>
                <w:szCs w:val="19"/>
                <w:color w:val="auto"/>
              </w:rPr>
            </w:pPr>
          </w:p>
        </w:tc>
      </w:tr>
      <w:tr>
        <w:trPr>
          <w:trHeight w:val="224"/>
        </w:trPr>
        <w:tc>
          <w:tcPr>
            <w:tcW w:w="83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3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340" w:type="dxa"/>
            <w:vAlign w:val="bottom"/>
            <w:tcBorders>
              <w:bottom w:val="single" w:sz="8" w:color="CCEEFF"/>
            </w:tcBorders>
          </w:tcPr>
          <w:p>
            <w:pPr>
              <w:spacing w:after="0"/>
              <w:rPr>
                <w:sz w:val="19"/>
                <w:szCs w:val="19"/>
                <w:color w:val="auto"/>
              </w:rPr>
            </w:pPr>
          </w:p>
        </w:tc>
      </w:tr>
      <w:tr>
        <w:trPr>
          <w:trHeight w:val="217"/>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charge-offs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(28,759)</w:t>
            </w:r>
          </w:p>
        </w:tc>
        <w:tc>
          <w:tcPr>
            <w:tcW w:w="3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(13,809)</w:t>
            </w:r>
          </w:p>
        </w:tc>
        <w:tc>
          <w:tcPr>
            <w:tcW w:w="340" w:type="dxa"/>
            <w:vAlign w:val="bottom"/>
            <w:shd w:val="clear" w:color="auto" w:fill="CCEEFF"/>
          </w:tcPr>
          <w:p>
            <w:pPr>
              <w:spacing w:after="0"/>
              <w:rPr>
                <w:sz w:val="18"/>
                <w:szCs w:val="18"/>
                <w:color w:val="auto"/>
              </w:rPr>
            </w:pPr>
          </w:p>
        </w:tc>
      </w:tr>
      <w:tr>
        <w:trPr>
          <w:trHeight w:val="204"/>
        </w:trPr>
        <w:tc>
          <w:tcPr>
            <w:tcW w:w="834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Recoveries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24"/>
        </w:trPr>
        <w:tc>
          <w:tcPr>
            <w:tcW w:w="8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340" w:type="dxa"/>
            <w:vAlign w:val="bottom"/>
            <w:shd w:val="clear" w:color="auto" w:fill="CCEEFF"/>
          </w:tcPr>
          <w:p>
            <w:pPr>
              <w:spacing w:after="0"/>
              <w:rPr>
                <w:sz w:val="19"/>
                <w:szCs w:val="19"/>
                <w:color w:val="auto"/>
              </w:rPr>
            </w:pPr>
          </w:p>
        </w:tc>
      </w:tr>
      <w:tr>
        <w:trPr>
          <w:trHeight w:val="224"/>
        </w:trPr>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r>
      <w:tr>
        <w:trPr>
          <w:trHeight w:val="224"/>
        </w:trPr>
        <w:tc>
          <w:tcPr>
            <w:tcW w:w="8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Real estate - 1-4 family mortgage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340" w:type="dxa"/>
            <w:vAlign w:val="bottom"/>
            <w:shd w:val="clear" w:color="auto" w:fill="CCEEFF"/>
          </w:tcPr>
          <w:p>
            <w:pPr>
              <w:spacing w:after="0"/>
              <w:rPr>
                <w:sz w:val="19"/>
                <w:szCs w:val="19"/>
                <w:color w:val="auto"/>
              </w:rPr>
            </w:pPr>
          </w:p>
        </w:tc>
      </w:tr>
      <w:tr>
        <w:trPr>
          <w:trHeight w:val="224"/>
        </w:trPr>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real estate - owner occupied</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340" w:type="dxa"/>
            <w:vAlign w:val="bottom"/>
          </w:tcPr>
          <w:p>
            <w:pPr>
              <w:spacing w:after="0"/>
              <w:rPr>
                <w:sz w:val="19"/>
                <w:szCs w:val="19"/>
                <w:color w:val="auto"/>
              </w:rPr>
            </w:pPr>
          </w:p>
        </w:tc>
      </w:tr>
      <w:tr>
        <w:trPr>
          <w:trHeight w:val="224"/>
        </w:trPr>
        <w:tc>
          <w:tcPr>
            <w:tcW w:w="8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real estate - non-owner occupied</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340" w:type="dxa"/>
            <w:vAlign w:val="bottom"/>
            <w:shd w:val="clear" w:color="auto" w:fill="CCEEFF"/>
          </w:tcPr>
          <w:p>
            <w:pPr>
              <w:spacing w:after="0"/>
              <w:rPr>
                <w:sz w:val="19"/>
                <w:szCs w:val="19"/>
                <w:color w:val="auto"/>
              </w:rPr>
            </w:pPr>
          </w:p>
        </w:tc>
      </w:tr>
      <w:tr>
        <w:trPr>
          <w:trHeight w:val="224"/>
        </w:trPr>
        <w:tc>
          <w:tcPr>
            <w:tcW w:w="83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3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340" w:type="dxa"/>
            <w:vAlign w:val="bottom"/>
            <w:tcBorders>
              <w:bottom w:val="single" w:sz="8" w:color="CCEEFF"/>
            </w:tcBorders>
          </w:tcPr>
          <w:p>
            <w:pPr>
              <w:spacing w:after="0"/>
              <w:rPr>
                <w:sz w:val="19"/>
                <w:szCs w:val="19"/>
                <w:color w:val="auto"/>
              </w:rPr>
            </w:pPr>
          </w:p>
        </w:tc>
      </w:tr>
      <w:tr>
        <w:trPr>
          <w:trHeight w:val="217"/>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recoveries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w:t>
            </w:r>
          </w:p>
        </w:tc>
        <w:tc>
          <w:tcPr>
            <w:tcW w:w="3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5,739</w:t>
            </w:r>
          </w:p>
        </w:tc>
        <w:tc>
          <w:tcPr>
            <w:tcW w:w="340" w:type="dxa"/>
            <w:vAlign w:val="bottom"/>
            <w:shd w:val="clear" w:color="auto" w:fill="CCEEFF"/>
          </w:tcPr>
          <w:p>
            <w:pPr>
              <w:spacing w:after="0"/>
              <w:rPr>
                <w:sz w:val="18"/>
                <w:szCs w:val="18"/>
                <w:color w:val="auto"/>
              </w:rPr>
            </w:pPr>
          </w:p>
        </w:tc>
      </w:tr>
      <w:tr>
        <w:trPr>
          <w:trHeight w:val="217"/>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charge-offs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(25,377)</w:t>
            </w:r>
          </w:p>
        </w:tc>
        <w:tc>
          <w:tcPr>
            <w:tcW w:w="3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(8,070)</w:t>
            </w:r>
          </w:p>
        </w:tc>
        <w:tc>
          <w:tcPr>
            <w:tcW w:w="340" w:type="dxa"/>
            <w:vAlign w:val="bottom"/>
            <w:tcBorders>
              <w:bottom w:val="single" w:sz="8" w:color="CCEEFF"/>
            </w:tcBorders>
          </w:tcPr>
          <w:p>
            <w:pPr>
              <w:spacing w:after="0"/>
              <w:rPr>
                <w:sz w:val="18"/>
                <w:szCs w:val="18"/>
                <w:color w:val="auto"/>
              </w:rPr>
            </w:pPr>
          </w:p>
        </w:tc>
      </w:tr>
      <w:tr>
        <w:trPr>
          <w:trHeight w:val="242"/>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293,955</w:t>
            </w:r>
          </w:p>
        </w:tc>
        <w:tc>
          <w:tcPr>
            <w:tcW w:w="3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201,756</w:t>
            </w:r>
          </w:p>
        </w:tc>
        <w:tc>
          <w:tcPr>
            <w:tcW w:w="340" w:type="dxa"/>
            <w:vAlign w:val="bottom"/>
            <w:tcBorders>
              <w:bottom w:val="single" w:sz="8" w:color="CCEEFF"/>
            </w:tcBorders>
            <w:shd w:val="clear" w:color="auto" w:fill="CCEEFF"/>
          </w:tcPr>
          <w:p>
            <w:pPr>
              <w:spacing w:after="0"/>
              <w:rPr>
                <w:sz w:val="20"/>
                <w:szCs w:val="20"/>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r>
      <w:tr>
        <w:trPr>
          <w:trHeight w:val="196"/>
        </w:trPr>
        <w:tc>
          <w:tcPr>
            <w:tcW w:w="8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24"/>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credit losses on loans to average loans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3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3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93"/>
              </w:rPr>
              <w:t>%</w:t>
            </w:r>
          </w:p>
        </w:tc>
      </w:tr>
      <w:tr>
        <w:trPr>
          <w:trHeight w:val="224"/>
        </w:trPr>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charge-offs to average loans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340" w:type="dxa"/>
            <w:vAlign w:val="bottom"/>
          </w:tcPr>
          <w:p>
            <w:pPr>
              <w:spacing w:after="0"/>
              <w:rPr>
                <w:sz w:val="19"/>
                <w:szCs w:val="19"/>
                <w:color w:val="auto"/>
              </w:rPr>
            </w:pPr>
          </w:p>
        </w:tc>
      </w:tr>
      <w:tr>
        <w:trPr>
          <w:trHeight w:val="224"/>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charge-offs to allowance for credit losses on loans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340" w:type="dxa"/>
            <w:vAlign w:val="bottom"/>
            <w:shd w:val="clear" w:color="auto" w:fill="CCEEFF"/>
          </w:tcPr>
          <w:p>
            <w:pPr>
              <w:spacing w:after="0"/>
              <w:rPr>
                <w:sz w:val="19"/>
                <w:szCs w:val="19"/>
                <w:color w:val="auto"/>
              </w:rPr>
            </w:pPr>
          </w:p>
        </w:tc>
      </w:tr>
      <w:tr>
        <w:trPr>
          <w:trHeight w:val="224"/>
        </w:trPr>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Allowance for credit losses on loans to:</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24"/>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loans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340" w:type="dxa"/>
            <w:vAlign w:val="bottom"/>
            <w:shd w:val="clear" w:color="auto" w:fill="CCEEFF"/>
          </w:tcPr>
          <w:p>
            <w:pPr>
              <w:spacing w:after="0"/>
              <w:rPr>
                <w:sz w:val="19"/>
                <w:szCs w:val="19"/>
                <w:color w:val="auto"/>
              </w:rPr>
            </w:pPr>
          </w:p>
        </w:tc>
      </w:tr>
      <w:tr>
        <w:trPr>
          <w:trHeight w:val="224"/>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Nonperforming loans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167.00</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178.11</w:t>
            </w:r>
          </w:p>
        </w:tc>
        <w:tc>
          <w:tcPr>
            <w:tcW w:w="340" w:type="dxa"/>
            <w:vAlign w:val="bottom"/>
          </w:tcPr>
          <w:p>
            <w:pPr>
              <w:spacing w:after="0"/>
              <w:rPr>
                <w:sz w:val="19"/>
                <w:szCs w:val="19"/>
                <w:color w:val="auto"/>
              </w:rPr>
            </w:pPr>
          </w:p>
        </w:tc>
      </w:tr>
      <w:tr>
        <w:trPr>
          <w:trHeight w:val="224"/>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Nonaccrual loans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167.28</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182.07</w:t>
            </w:r>
          </w:p>
        </w:tc>
        <w:tc>
          <w:tcPr>
            <w:tcW w:w="340" w:type="dxa"/>
            <w:vAlign w:val="bottom"/>
            <w:shd w:val="clear" w:color="auto" w:fill="CCEEFF"/>
          </w:tcPr>
          <w:p>
            <w:pPr>
              <w:spacing w:after="0"/>
              <w:rPr>
                <w:sz w:val="19"/>
                <w:szCs w:val="19"/>
                <w:color w:val="auto"/>
              </w:rPr>
            </w:pPr>
          </w:p>
        </w:tc>
      </w:tr>
      <w:tr>
        <w:trPr>
          <w:trHeight w:val="228"/>
        </w:trPr>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Nonaccrual loans to total loans: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340" w:type="dxa"/>
            <w:vAlign w:val="bottom"/>
          </w:tcPr>
          <w:p>
            <w:pPr>
              <w:spacing w:after="0"/>
              <w:rPr>
                <w:sz w:val="19"/>
                <w:szCs w:val="19"/>
                <w:color w:val="auto"/>
              </w:rPr>
            </w:pPr>
          </w:p>
        </w:tc>
      </w:tr>
    </w:tbl>
    <w:p>
      <w:pPr>
        <w:spacing w:after="0" w:line="22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provision for credit losses on loans charged to operating expense is an amount that, in the judgment of management, is necessary to maintain the allowance for credit losses on loans at a level adequate to meet the inherent risks of losses in our loan portfolio. The Company recorded a provision for credit losses on loans of $92,573 (which included the Day 1 provision of $62,190), or 0.53% of average loans during 2025, as compared to $11,248, or 0.16% of average loans during 2024. The increase in the allowance for credit losses was primarily driven by loan balance increase from a combination of organic loan growth and from the acquisition of The First, and changes in the macroeconomic environment and qualitative factors. The Company’s allowance for credit loss considers current conditions, economic projections, primarily the national unemployment rate and GDP over a reasonable and supportable period of two years, historical loss data, and environmental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54" w:name="page55"/>
    <w:bookmarkEnd w:id="54"/>
    <w:p>
      <w:pPr>
        <w:jc w:val="both"/>
        <w:spacing w:after="0" w:line="268" w:lineRule="auto"/>
        <w:rPr>
          <w:sz w:val="20"/>
          <w:szCs w:val="20"/>
          <w:color w:val="auto"/>
        </w:rPr>
      </w:pPr>
      <w:r>
        <w:rPr>
          <w:rFonts w:ascii="Times New Roman" w:cs="Times New Roman" w:eastAsia="Times New Roman" w:hAnsi="Times New Roman"/>
          <w:sz w:val="18"/>
          <w:szCs w:val="18"/>
          <w:color w:val="auto"/>
        </w:rPr>
        <w:t>The table below reflects net charge-offs to daily average loans outstanding, by loan category, during the years ended December 31. The charge-offs in 2025 were fully reserved for in the Company’s allowance for credit losses.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0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4040" w:type="dxa"/>
            <w:vAlign w:val="bottom"/>
          </w:tcPr>
          <w:p>
            <w:pPr>
              <w:spacing w:after="0"/>
              <w:rPr>
                <w:sz w:val="14"/>
                <w:szCs w:val="14"/>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Net Charge-</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jc w:val="center"/>
              <w:spacing w:after="0" w:line="164" w:lineRule="exact"/>
              <w:rPr>
                <w:sz w:val="20"/>
                <w:szCs w:val="20"/>
                <w:color w:val="auto"/>
              </w:rPr>
            </w:pPr>
            <w:r>
              <w:rPr>
                <w:rFonts w:ascii="Times New Roman" w:cs="Times New Roman" w:eastAsia="Times New Roman" w:hAnsi="Times New Roman"/>
                <w:sz w:val="18"/>
                <w:szCs w:val="18"/>
                <w:b w:val="1"/>
                <w:bCs w:val="1"/>
                <w:color w:val="auto"/>
                <w:w w:val="96"/>
              </w:rPr>
              <w:t>Net Charge-offs</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Net Charge-</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80" w:type="dxa"/>
            <w:vAlign w:val="bottom"/>
          </w:tcPr>
          <w:p>
            <w:pPr>
              <w:jc w:val="center"/>
              <w:spacing w:after="0" w:line="164" w:lineRule="exact"/>
              <w:rPr>
                <w:sz w:val="20"/>
                <w:szCs w:val="20"/>
                <w:color w:val="auto"/>
              </w:rPr>
            </w:pPr>
            <w:r>
              <w:rPr>
                <w:rFonts w:ascii="Times New Roman" w:cs="Times New Roman" w:eastAsia="Times New Roman" w:hAnsi="Times New Roman"/>
                <w:sz w:val="18"/>
                <w:szCs w:val="18"/>
                <w:b w:val="1"/>
                <w:bCs w:val="1"/>
                <w:color w:val="auto"/>
                <w:w w:val="97"/>
              </w:rPr>
              <w:t>Net Charge-offs</w:t>
            </w: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Average Loans</w:t>
            </w:r>
          </w:p>
        </w:tc>
        <w:tc>
          <w:tcPr>
            <w:tcW w:w="1280" w:type="dxa"/>
            <w:vAlign w:val="bottom"/>
          </w:tcPr>
          <w:p>
            <w:pPr>
              <w:jc w:val="center"/>
              <w:spacing w:after="0" w:line="171" w:lineRule="exact"/>
              <w:rPr>
                <w:sz w:val="20"/>
                <w:szCs w:val="20"/>
                <w:color w:val="auto"/>
              </w:rPr>
            </w:pPr>
            <w:r>
              <w:rPr>
                <w:rFonts w:ascii="Times New Roman" w:cs="Times New Roman" w:eastAsia="Times New Roman" w:hAnsi="Times New Roman"/>
                <w:sz w:val="18"/>
                <w:szCs w:val="18"/>
                <w:b w:val="1"/>
                <w:bCs w:val="1"/>
                <w:color w:val="auto"/>
                <w:w w:val="95"/>
              </w:rPr>
              <w:t>to Average</w:t>
            </w:r>
          </w:p>
        </w:tc>
        <w:tc>
          <w:tcPr>
            <w:tcW w:w="1020" w:type="dxa"/>
            <w:vAlign w:val="bottom"/>
            <w:gridSpan w:val="2"/>
            <w:vMerge w:val="continue"/>
          </w:tcPr>
          <w:p>
            <w:pPr>
              <w:spacing w:after="0"/>
              <w:rPr>
                <w:sz w:val="14"/>
                <w:szCs w:val="14"/>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Average Loans</w:t>
            </w:r>
          </w:p>
        </w:tc>
        <w:tc>
          <w:tcPr>
            <w:tcW w:w="1280" w:type="dxa"/>
            <w:vAlign w:val="bottom"/>
          </w:tcPr>
          <w:p>
            <w:pPr>
              <w:jc w:val="center"/>
              <w:spacing w:after="0" w:line="171" w:lineRule="exact"/>
              <w:rPr>
                <w:sz w:val="20"/>
                <w:szCs w:val="20"/>
                <w:color w:val="auto"/>
              </w:rPr>
            </w:pPr>
            <w:r>
              <w:rPr>
                <w:rFonts w:ascii="Times New Roman" w:cs="Times New Roman" w:eastAsia="Times New Roman" w:hAnsi="Times New Roman"/>
                <w:sz w:val="18"/>
                <w:szCs w:val="18"/>
                <w:b w:val="1"/>
                <w:bCs w:val="1"/>
                <w:color w:val="auto"/>
                <w:w w:val="95"/>
              </w:rPr>
              <w:t>to Average</w:t>
            </w:r>
          </w:p>
        </w:tc>
        <w:tc>
          <w:tcPr>
            <w:tcW w:w="0" w:type="dxa"/>
            <w:vAlign w:val="bottom"/>
          </w:tcPr>
          <w:p>
            <w:pPr>
              <w:spacing w:after="0"/>
              <w:rPr>
                <w:sz w:val="1"/>
                <w:szCs w:val="1"/>
                <w:color w:val="auto"/>
              </w:rPr>
            </w:pPr>
          </w:p>
        </w:tc>
      </w:tr>
      <w:tr>
        <w:trPr>
          <w:trHeight w:val="237"/>
        </w:trPr>
        <w:tc>
          <w:tcPr>
            <w:tcW w:w="40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offs</w:t>
            </w:r>
          </w:p>
        </w:tc>
        <w:tc>
          <w:tcPr>
            <w:tcW w:w="1300" w:type="dxa"/>
            <w:vAlign w:val="bottom"/>
            <w:tcBorders>
              <w:bottom w:val="single" w:sz="8" w:color="auto"/>
            </w:tcBorders>
            <w:gridSpan w:val="2"/>
            <w:vMerge w:val="continue"/>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Loans</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offs</w:t>
            </w:r>
          </w:p>
        </w:tc>
        <w:tc>
          <w:tcPr>
            <w:tcW w:w="1300" w:type="dxa"/>
            <w:vAlign w:val="bottom"/>
            <w:tcBorders>
              <w:bottom w:val="single" w:sz="8" w:color="auto"/>
            </w:tcBorders>
            <w:gridSpan w:val="2"/>
            <w:vMerge w:val="continue"/>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Loans</w:t>
            </w:r>
          </w:p>
        </w:tc>
        <w:tc>
          <w:tcPr>
            <w:tcW w:w="0" w:type="dxa"/>
            <w:vAlign w:val="bottom"/>
          </w:tcPr>
          <w:p>
            <w:pPr>
              <w:spacing w:after="0"/>
              <w:rPr>
                <w:sz w:val="1"/>
                <w:szCs w:val="1"/>
                <w:color w:val="auto"/>
              </w:rPr>
            </w:pPr>
          </w:p>
        </w:tc>
      </w:tr>
      <w:tr>
        <w:trPr>
          <w:trHeight w:val="217"/>
        </w:trPr>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(17,480)</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2,591,789</w:t>
            </w:r>
          </w:p>
        </w:tc>
        <w:tc>
          <w:tcPr>
            <w:tcW w:w="12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(0.67)%</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(3,360)</w:t>
            </w:r>
          </w:p>
        </w:tc>
        <w:tc>
          <w:tcPr>
            <w:tcW w:w="2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1,947,731</w:t>
            </w:r>
          </w:p>
        </w:tc>
        <w:tc>
          <w:tcPr>
            <w:tcW w:w="12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24"/>
        </w:trPr>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20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(364)</w:t>
            </w:r>
          </w:p>
        </w:tc>
        <w:tc>
          <w:tcPr>
            <w:tcW w:w="26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1,755,665</w:t>
            </w: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(0.02)%</w:t>
            </w:r>
          </w:p>
        </w:tc>
        <w:tc>
          <w:tcPr>
            <w:tcW w:w="24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(152)</w:t>
            </w:r>
          </w:p>
        </w:tc>
        <w:tc>
          <w:tcPr>
            <w:tcW w:w="28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1,442,096</w:t>
            </w: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24"/>
        </w:trPr>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Real estate - 1-4 family mortgage</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(1,236)</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4,323,892</w:t>
            </w:r>
          </w:p>
        </w:tc>
        <w:tc>
          <w:tcPr>
            <w:tcW w:w="12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(0.03)%</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(801)</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3,328,630</w:t>
            </w:r>
          </w:p>
        </w:tc>
        <w:tc>
          <w:tcPr>
            <w:tcW w:w="12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24"/>
        </w:trPr>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real estate - owner occupied</w:t>
            </w:r>
          </w:p>
        </w:tc>
        <w:tc>
          <w:tcPr>
            <w:tcW w:w="20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(5,269)</w:t>
            </w:r>
          </w:p>
        </w:tc>
        <w:tc>
          <w:tcPr>
            <w:tcW w:w="26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2,946,647</w:t>
            </w: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(0.18)%</w:t>
            </w:r>
          </w:p>
        </w:tc>
        <w:tc>
          <w:tcPr>
            <w:tcW w:w="24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75</w:t>
            </w:r>
          </w:p>
        </w:tc>
        <w:tc>
          <w:tcPr>
            <w:tcW w:w="28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1,763,383</w:t>
            </w: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real estate - non-owner occupied</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5,594,198</w:t>
            </w:r>
          </w:p>
        </w:tc>
        <w:tc>
          <w:tcPr>
            <w:tcW w:w="12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(3,527)</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4,003,073</w:t>
            </w:r>
          </w:p>
        </w:tc>
        <w:tc>
          <w:tcPr>
            <w:tcW w:w="12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24"/>
        </w:trPr>
        <w:tc>
          <w:tcPr>
            <w:tcW w:w="4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Consumer</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(1,072)</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110,092</w:t>
            </w:r>
          </w:p>
        </w:tc>
        <w:tc>
          <w:tcPr>
            <w:tcW w:w="12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(0.97)%</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(305)</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94,230</w:t>
            </w:r>
          </w:p>
        </w:tc>
        <w:tc>
          <w:tcPr>
            <w:tcW w:w="12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42"/>
        </w:trPr>
        <w:tc>
          <w:tcPr>
            <w:tcW w:w="4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(25,377)</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17,322,283</w:t>
            </w:r>
          </w:p>
        </w:tc>
        <w:tc>
          <w:tcPr>
            <w:tcW w:w="12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(0.15)%</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(8,070)</w:t>
            </w:r>
          </w:p>
        </w:tc>
        <w:tc>
          <w:tcPr>
            <w:tcW w:w="2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12,579,143</w:t>
            </w:r>
          </w:p>
        </w:tc>
        <w:tc>
          <w:tcPr>
            <w:tcW w:w="12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u w:val="single" w:color="auto"/>
          <w:color w:val="auto"/>
        </w:rPr>
        <w:t>Allowance for Credit Losses on Unfunded Commitments; Provision for Credit Losses on Unfunded Commitments</w:t>
      </w:r>
      <w:r>
        <w:rPr>
          <w:rFonts w:ascii="Times New Roman" w:cs="Times New Roman" w:eastAsia="Times New Roman" w:hAnsi="Times New Roman"/>
          <w:sz w:val="18"/>
          <w:szCs w:val="18"/>
          <w:color w:val="auto"/>
        </w:rPr>
        <w:t>. The Company maintains a separate allowance for credit losses on unfunded loan commitments, which is included in the “Other liabilities” line item on the Consolidated Balance Sheets. Management estimates the amount of expected losses on unfunded loan commitments by calculating a likelihood of funding over the contractual period for exposures that are not unconditionally cancellable by the Company and applying the loss factors used in the allowance for credit loss on loans methodology described above to unfunded commitments for each loan type. No credit loss estimate is reported for off-balance-sheet credit exposures that are unconditionally cancellable by the Company. A roll-forward of the allowance for credit losses on unfunded commitments is shown in the table below.</w:t>
      </w:r>
    </w:p>
    <w:p>
      <w:pPr>
        <w:sectPr>
          <w:pgSz w:w="11900" w:h="16838" w:orient="portrait"/>
          <w:cols w:equalWidth="0" w:num="1">
            <w:col w:w="11240"/>
          </w:cols>
          <w:pgMar w:left="320" w:top="8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Allowance for credit losses on unfunded loan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035800" cy="142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35800" cy="14224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Beginning balance</w:t>
      </w:r>
    </w:p>
    <w:p>
      <w:pPr>
        <w:spacing w:after="0" w:line="17" w:lineRule="exact"/>
        <w:rPr>
          <w:sz w:val="20"/>
          <w:szCs w:val="20"/>
          <w:color w:val="auto"/>
        </w:rPr>
      </w:pPr>
    </w:p>
    <w:p>
      <w:pPr>
        <w:ind w:left="20" w:right="3000"/>
        <w:spacing w:after="0" w:line="278" w:lineRule="auto"/>
        <w:rPr>
          <w:sz w:val="20"/>
          <w:szCs w:val="20"/>
          <w:color w:val="auto"/>
        </w:rPr>
      </w:pPr>
      <w:r>
        <w:rPr>
          <w:rFonts w:ascii="Times New Roman" w:cs="Times New Roman" w:eastAsia="Times New Roman" w:hAnsi="Times New Roman"/>
          <w:sz w:val="18"/>
          <w:szCs w:val="18"/>
          <w:color w:val="auto"/>
        </w:rPr>
        <w:t>Provision (reversal of) for credit losses on unfunded loan commitments Ending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7035800" cy="142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35800" cy="142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200" w:type="dxa"/>
            <w:vAlign w:val="bottom"/>
          </w:tcPr>
          <w:p>
            <w:pPr>
              <w:spacing w:after="0"/>
              <w:rPr>
                <w:sz w:val="18"/>
                <w:szCs w:val="18"/>
                <w:color w:val="auto"/>
              </w:rPr>
            </w:pPr>
          </w:p>
        </w:tc>
        <w:tc>
          <w:tcPr>
            <w:tcW w:w="2140" w:type="dxa"/>
            <w:vAlign w:val="bottom"/>
            <w:gridSpan w:val="3"/>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3"/>
        </w:trPr>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424"/>
        </w:trPr>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14,943</w:t>
            </w:r>
          </w:p>
        </w:tc>
        <w:tc>
          <w:tcPr>
            <w:tcW w:w="3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16,918</w:t>
            </w:r>
          </w:p>
        </w:tc>
      </w:tr>
      <w:tr>
        <w:trPr>
          <w:trHeight w:val="229"/>
        </w:trPr>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14,884</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98"/>
              </w:rPr>
              <w:t>(1,975)</w:t>
            </w:r>
          </w:p>
        </w:tc>
      </w:tr>
      <w:tr>
        <w:trPr>
          <w:trHeight w:val="217"/>
        </w:trPr>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29,827</w:t>
            </w:r>
          </w:p>
        </w:tc>
        <w:tc>
          <w:tcPr>
            <w:tcW w:w="3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14,943</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020" w:space="720"/>
            <w:col w:w="2500"/>
          </w:cols>
          <w:pgMar w:left="320" w:top="871" w:right="339" w:bottom="1440" w:gutter="0" w:footer="0" w:header="0"/>
          <w:type w:val="continuous"/>
        </w:sectPr>
      </w:pPr>
    </w:p>
    <w:p>
      <w:pPr>
        <w:spacing w:after="0" w:line="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u w:val="single" w:color="auto"/>
          <w:color w:val="auto"/>
        </w:rPr>
        <w:t>Nonperforming Assets</w:t>
      </w:r>
      <w:r>
        <w:rPr>
          <w:rFonts w:ascii="Times New Roman" w:cs="Times New Roman" w:eastAsia="Times New Roman" w:hAnsi="Times New Roman"/>
          <w:sz w:val="18"/>
          <w:szCs w:val="18"/>
          <w:color w:val="auto"/>
        </w:rPr>
        <w:t>. Nonperforming assets consist of nonperforming loans and other real estate owned. Nonperforming loans are loans on which the accrual of interest has stopped and loans that are contractually 90 days past due on which interest continues to accrue. Generally, the accrual of interest is discontinued when the full collection of principal or interest is in doubt or when the payment of principal or interest has been contractually 90 days past due, unless the obligation is both well secured and in the process of collection. Management, the problem asset resolution committee and our loan review staff closely monitor loans that are considered to be nonperforming.</w:t>
      </w:r>
    </w:p>
    <w:p>
      <w:pPr>
        <w:spacing w:after="0" w:line="1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Other real estate owned consists of properties acquired through foreclosure or acceptance of a deed in lieu of foreclosure. These properties are carried at the lower of cost or fair market value based on appraised value less estimated selling costs. Losses arising at the time of foreclosure of properties are charged against the allowance for credit losses. Reductions in the carrying value subsequent to acquisition are charged to earnings and are included in “Other real estate owned” 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The following table provides details of the Company’s nonperforming assets as of December 31 for each of the years presented.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43"/>
        </w:trPr>
        <w:tc>
          <w:tcPr>
            <w:tcW w:w="8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24"/>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Nonaccruing loans</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175,730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110,811</w:t>
            </w:r>
          </w:p>
        </w:tc>
      </w:tr>
      <w:tr>
        <w:trPr>
          <w:trHeight w:val="224"/>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Accruing loans past due 90 days or more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2,464</w:t>
            </w:r>
          </w:p>
        </w:tc>
      </w:tr>
      <w:tr>
        <w:trPr>
          <w:trHeight w:val="217"/>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nonperforming loans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176,018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113,275</w:t>
            </w:r>
          </w:p>
        </w:tc>
      </w:tr>
      <w:tr>
        <w:trPr>
          <w:trHeight w:val="224"/>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real estate owned</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15,191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8,673</w:t>
            </w:r>
          </w:p>
        </w:tc>
      </w:tr>
      <w:tr>
        <w:trPr>
          <w:trHeight w:val="223"/>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nonperforming assets</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191,209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121,948</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Nonperforming loans to total loans</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0.92 %</w:t>
            </w:r>
          </w:p>
        </w:tc>
        <w:tc>
          <w:tcPr>
            <w:tcW w:w="100" w:type="dxa"/>
            <w:vAlign w:val="bottom"/>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0.88 %</w:t>
            </w:r>
          </w:p>
        </w:tc>
      </w:tr>
      <w:tr>
        <w:trPr>
          <w:trHeight w:val="224"/>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Nonaccruing loans to total loans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0.88 %</w:t>
            </w:r>
          </w:p>
        </w:tc>
      </w:tr>
      <w:tr>
        <w:trPr>
          <w:trHeight w:val="228"/>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Nonperforming assets to total assets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0.68 %</w:t>
            </w:r>
          </w:p>
        </w:tc>
      </w:tr>
    </w:tbl>
    <w:p>
      <w:pPr>
        <w:spacing w:after="0" w:line="2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level of nonperforming loans increased $62,743 from December 31, 2024, while other real estate owned increased $6,518 during the same period. The increase in nonperforming loans and other real estate is primarily due to the acquisition of The First.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nonperforming loans by loan category at December 31 for each of the years presented.</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408"/>
        </w:trPr>
        <w:tc>
          <w:tcPr>
            <w:tcW w:w="89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7"/>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6,083</w:t>
            </w:r>
          </w:p>
        </w:tc>
      </w:tr>
      <w:tr>
        <w:trPr>
          <w:trHeight w:val="224"/>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4"/>
        </w:trPr>
        <w:tc>
          <w:tcPr>
            <w:tcW w:w="8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r>
      <w:tr>
        <w:trPr>
          <w:trHeight w:val="224"/>
        </w:trPr>
        <w:tc>
          <w:tcPr>
            <w:tcW w:w="8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5,064</w:t>
            </w:r>
          </w:p>
        </w:tc>
      </w:tr>
      <w:tr>
        <w:trPr>
          <w:trHeight w:val="217"/>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construction and land development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6,287</w:t>
            </w:r>
          </w:p>
        </w:tc>
      </w:tr>
      <w:tr>
        <w:trPr>
          <w:trHeight w:val="224"/>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- 1-4 family mortgage</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4"/>
        </w:trPr>
        <w:tc>
          <w:tcPr>
            <w:tcW w:w="8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First lien</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54,313</w:t>
            </w:r>
          </w:p>
        </w:tc>
      </w:tr>
      <w:tr>
        <w:trPr>
          <w:trHeight w:val="224"/>
        </w:trPr>
        <w:tc>
          <w:tcPr>
            <w:tcW w:w="8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Junior lien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w:t>
            </w:r>
          </w:p>
        </w:tc>
      </w:tr>
      <w:tr>
        <w:trPr>
          <w:trHeight w:val="224"/>
        </w:trPr>
        <w:tc>
          <w:tcPr>
            <w:tcW w:w="8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Home equity</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w:t>
            </w:r>
          </w:p>
        </w:tc>
      </w:tr>
      <w:tr>
        <w:trPr>
          <w:trHeight w:val="217"/>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real estate – 1-4 family mortgage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58,829</w:t>
            </w:r>
          </w:p>
        </w:tc>
      </w:tr>
      <w:tr>
        <w:trPr>
          <w:trHeight w:val="224"/>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 - owner occupied</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12,679</w:t>
            </w:r>
          </w:p>
        </w:tc>
      </w:tr>
      <w:tr>
        <w:trPr>
          <w:trHeight w:val="224"/>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 - non-owner occupied</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4"/>
        </w:trPr>
        <w:tc>
          <w:tcPr>
            <w:tcW w:w="8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Multi family</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8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42,610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29,280</w:t>
            </w:r>
          </w:p>
        </w:tc>
      </w:tr>
      <w:tr>
        <w:trPr>
          <w:trHeight w:val="217"/>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commercial real estate - non-owner occupied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29,280</w:t>
            </w:r>
          </w:p>
        </w:tc>
      </w:tr>
      <w:tr>
        <w:trPr>
          <w:trHeight w:val="224"/>
        </w:trPr>
        <w:tc>
          <w:tcPr>
            <w:tcW w:w="8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42"/>
        </w:trPr>
        <w:tc>
          <w:tcPr>
            <w:tcW w:w="8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net of unearned income</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176,018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113,275</w:t>
            </w: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Management has evaluated the aforementioned loans and other loans classified as nonperforming and believes that all nonperforming loans have been adequately reserved for in the allowance for credit losses on loans at December 31, 2025. Management also continually monitors past due loans for potential credit quality deterioration. Total loans 30-89 days past due on which interest was still accruing were $89,162 at December 31, 2025 as compared to $39,842 at December 31, 2024.</w:t>
      </w:r>
    </w:p>
    <w:p>
      <w:pPr>
        <w:spacing w:after="0" w:line="65" w:lineRule="exact"/>
        <w:rPr>
          <w:sz w:val="20"/>
          <w:szCs w:val="20"/>
          <w:color w:val="auto"/>
        </w:rPr>
      </w:pPr>
    </w:p>
    <w:p>
      <w:pPr>
        <w:jc w:val="both"/>
        <w:spacing w:after="0" w:line="332" w:lineRule="auto"/>
        <w:rPr>
          <w:sz w:val="20"/>
          <w:szCs w:val="20"/>
          <w:color w:val="auto"/>
        </w:rPr>
      </w:pPr>
      <w:r>
        <w:rPr>
          <w:rFonts w:ascii="Times New Roman" w:cs="Times New Roman" w:eastAsia="Times New Roman" w:hAnsi="Times New Roman"/>
          <w:sz w:val="16"/>
          <w:szCs w:val="16"/>
          <w:color w:val="auto"/>
        </w:rPr>
        <w:t>Certain modifications of loans made to borrowers experiencing financial difficulty. See the information under the heading “Certain Modifications to Borrowers Experiencing Financial Difficulties” in Note 3, “Loans,” in Item 8, Financials Statements and Supplementary Data, in this report for more information.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28"/>
        </w:trPr>
        <w:tc>
          <w:tcPr>
            <w:tcW w:w="9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provides details of the Company’s other real estate owned as of December 31 for each of the years presented:</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8"/>
        </w:trPr>
        <w:tc>
          <w:tcPr>
            <w:tcW w:w="824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0" w:type="dxa"/>
            <w:vAlign w:val="bottom"/>
          </w:tcPr>
          <w:p>
            <w:pPr>
              <w:spacing w:after="0"/>
              <w:rPr>
                <w:sz w:val="1"/>
                <w:szCs w:val="1"/>
                <w:color w:val="auto"/>
              </w:rPr>
            </w:pP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5,681</w:t>
            </w: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land development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4"/>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Commercial land development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2"/>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real estate owned</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8,673</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Changes in the Company’s other real estate owned were as follows for the periods presented: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82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824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9,622</w:t>
            </w:r>
          </w:p>
        </w:tc>
        <w:tc>
          <w:tcPr>
            <w:tcW w:w="0" w:type="dxa"/>
            <w:vAlign w:val="bottom"/>
          </w:tcPr>
          <w:p>
            <w:pPr>
              <w:spacing w:after="0"/>
              <w:rPr>
                <w:sz w:val="1"/>
                <w:szCs w:val="1"/>
                <w:color w:val="auto"/>
              </w:rPr>
            </w:pP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OREO</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Transfers of loans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0" w:type="dxa"/>
            <w:vAlign w:val="bottom"/>
          </w:tcPr>
          <w:p>
            <w:pPr>
              <w:spacing w:after="0"/>
              <w:rPr>
                <w:sz w:val="1"/>
                <w:szCs w:val="1"/>
                <w:color w:val="auto"/>
              </w:rPr>
            </w:pP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Dispositions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w:t>
            </w:r>
          </w:p>
        </w:tc>
        <w:tc>
          <w:tcPr>
            <w:tcW w:w="0" w:type="dxa"/>
            <w:vAlign w:val="bottom"/>
          </w:tcPr>
          <w:p>
            <w:pPr>
              <w:spacing w:after="0"/>
              <w:rPr>
                <w:sz w:val="1"/>
                <w:szCs w:val="1"/>
                <w:color w:val="auto"/>
              </w:rPr>
            </w:pPr>
          </w:p>
        </w:tc>
      </w:tr>
      <w:tr>
        <w:trPr>
          <w:trHeight w:val="21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8,673</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realized net gains of $74 and $227 on dispositions of other real estate owned during 2025 and 2024,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6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Market risk is the risk of loss from adverse changes in market prices and rates. The majority of assets and liabilities of a financial institution are monetary in nature and therefore differ greatly from those of most commercial and industrial companies, which have significant investments in fixed assets and inventories. Our market risk arises primarily from interest rate risk inherent in lending and deposit-taking activities. Management believes a significant impact on the Company’s financial results stems from our ability to react to changes in interest rates. A sudden and substantial change in interest rates may adversely impact our earnings because the interest rates borne by assets and liabilities do not change at the same speed, to the same extent or on the same basis.</w:t>
      </w:r>
    </w:p>
    <w:p>
      <w:pPr>
        <w:spacing w:after="0" w:line="10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Because of the impact of interest rate fluctuations on our profitability, the Board of Directors and management actively monitor and manage our interest rate risk exposure. We have an Asset/Liability Committee (the “ALCO”) that is authorized by the Board of Directors to monitor our interest rate sensitivity and to make decisions relating to that process. The ALCO’s goal is to structure our asset/liability composition to maximize net interest income while managing interest rate risk so as to minimize the adverse impact of changes in interest rates on net interest income and capital. The ALCO uses an asset/liability model as the primary quantitative tool in measuring the amount of interest rate risk associated with changing market rates. The model is used to perform both net interest income forecast simulations for multiple year horizons and economic value of equity (“EVE”) analyses, each under various interest rate scenarios, which could impact the results presented in the table below.</w:t>
      </w:r>
    </w:p>
    <w:p>
      <w:pPr>
        <w:spacing w:after="0" w:line="13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Net interest income simulations measure the short and medium-term earnings exposure from changes in market interest rates in a rigorous and explicit fashion. Our current financial position is combined with assumptions regarding future business to calculate net interest income under various hypothetical rate scenarios. EVE measures our long-term earnings exposure from changes in market rates of interest. EVE is defined as the present value of assets minus the present value of liabilities at a point in time for a given set of market rate assumptions. An increase in EVE due to a specified rate change indicates an improvement in the long-term earnings capacity of the balance sheet assuming that the rate change remains in effect over the life of the current balance sheet.</w:t>
      </w:r>
    </w:p>
    <w:p>
      <w:pPr>
        <w:spacing w:after="0" w:line="1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following table presents the projected impact of a change in interest rates on (1) static EVE and (2) earnings at risk (that is, net interest income) for the 1-12 and 13-24 month periods commencing January 1, 2025, in each case as compared to the result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57" w:name="page58"/>
    <w:bookmarkEnd w:id="57"/>
    <w:p>
      <w:pPr>
        <w:jc w:val="both"/>
        <w:spacing w:after="0" w:line="268" w:lineRule="auto"/>
        <w:rPr>
          <w:sz w:val="20"/>
          <w:szCs w:val="20"/>
          <w:color w:val="auto"/>
        </w:rPr>
      </w:pPr>
      <w:r>
        <w:rPr>
          <w:rFonts w:ascii="Times New Roman" w:cs="Times New Roman" w:eastAsia="Times New Roman" w:hAnsi="Times New Roman"/>
          <w:sz w:val="18"/>
          <w:szCs w:val="18"/>
          <w:color w:val="auto"/>
        </w:rPr>
        <w:t>under rates present in the market on December 31, 2024. The changes in interest rates assume an instantaneous and parallel shift in the yield curve and do not take into account changes in the slope of the yield curve.</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60" w:type="dxa"/>
            <w:vAlign w:val="bottom"/>
            <w:tcBorders>
              <w:bottom w:val="single" w:sz="8" w:color="auto"/>
            </w:tcBorders>
            <w:gridSpan w:val="4"/>
          </w:tcPr>
          <w:p>
            <w:pPr>
              <w:ind w:left="1800"/>
              <w:spacing w:after="0"/>
              <w:rPr>
                <w:sz w:val="20"/>
                <w:szCs w:val="20"/>
                <w:color w:val="auto"/>
              </w:rPr>
            </w:pPr>
            <w:r>
              <w:rPr>
                <w:rFonts w:ascii="Times New Roman" w:cs="Times New Roman" w:eastAsia="Times New Roman" w:hAnsi="Times New Roman"/>
                <w:sz w:val="18"/>
                <w:szCs w:val="18"/>
                <w:b w:val="1"/>
                <w:bCs w:val="1"/>
                <w:color w:val="auto"/>
              </w:rPr>
              <w:t>Percentage Change In:</w:t>
            </w: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5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Economic Value Equity (EVE)</w:t>
            </w:r>
          </w:p>
        </w:tc>
        <w:tc>
          <w:tcPr>
            <w:tcW w:w="120" w:type="dxa"/>
            <w:vAlign w:val="bottom"/>
            <w:vMerge w:val="restart"/>
          </w:tcPr>
          <w:p>
            <w:pPr>
              <w:spacing w:after="0"/>
              <w:rPr>
                <w:sz w:val="14"/>
                <w:szCs w:val="14"/>
                <w:color w:val="auto"/>
              </w:rPr>
            </w:pPr>
          </w:p>
        </w:tc>
        <w:tc>
          <w:tcPr>
            <w:tcW w:w="2860" w:type="dxa"/>
            <w:vAlign w:val="bottom"/>
            <w:gridSpan w:val="3"/>
          </w:tcPr>
          <w:p>
            <w:pPr>
              <w:jc w:val="center"/>
              <w:spacing w:after="0" w:line="164" w:lineRule="exact"/>
              <w:rPr>
                <w:sz w:val="20"/>
                <w:szCs w:val="20"/>
                <w:color w:val="auto"/>
              </w:rPr>
            </w:pPr>
            <w:r>
              <w:rPr>
                <w:rFonts w:ascii="Times New Roman" w:cs="Times New Roman" w:eastAsia="Times New Roman" w:hAnsi="Times New Roman"/>
                <w:sz w:val="18"/>
                <w:szCs w:val="18"/>
                <w:b w:val="1"/>
                <w:bCs w:val="1"/>
                <w:color w:val="auto"/>
                <w:w w:val="97"/>
              </w:rPr>
              <w:t>Earning at Risk (EAR)</w:t>
            </w:r>
          </w:p>
        </w:tc>
        <w:tc>
          <w:tcPr>
            <w:tcW w:w="0" w:type="dxa"/>
            <w:vAlign w:val="bottom"/>
          </w:tcPr>
          <w:p>
            <w:pPr>
              <w:spacing w:after="0"/>
              <w:rPr>
                <w:sz w:val="1"/>
                <w:szCs w:val="1"/>
                <w:color w:val="auto"/>
              </w:rPr>
            </w:pPr>
          </w:p>
        </w:tc>
      </w:tr>
      <w:tr>
        <w:trPr>
          <w:trHeight w:val="236"/>
        </w:trPr>
        <w:tc>
          <w:tcPr>
            <w:tcW w:w="5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4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8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(Net Interest Income)</w:t>
            </w:r>
          </w:p>
        </w:tc>
        <w:tc>
          <w:tcPr>
            <w:tcW w:w="0" w:type="dxa"/>
            <w:vAlign w:val="bottom"/>
          </w:tcPr>
          <w:p>
            <w:pPr>
              <w:spacing w:after="0"/>
              <w:rPr>
                <w:sz w:val="1"/>
                <w:szCs w:val="1"/>
                <w:color w:val="auto"/>
              </w:rPr>
            </w:pPr>
          </w:p>
        </w:tc>
      </w:tr>
      <w:tr>
        <w:trPr>
          <w:trHeight w:val="230"/>
        </w:trPr>
        <w:tc>
          <w:tcPr>
            <w:tcW w:w="5920" w:type="dxa"/>
            <w:vAlign w:val="bottom"/>
            <w:gridSpan w:val="2"/>
          </w:tcPr>
          <w:p>
            <w:pPr>
              <w:ind w:left="1740"/>
              <w:spacing w:after="0"/>
              <w:rPr>
                <w:sz w:val="20"/>
                <w:szCs w:val="20"/>
                <w:color w:val="auto"/>
              </w:rPr>
            </w:pPr>
            <w:r>
              <w:rPr>
                <w:rFonts w:ascii="Times New Roman" w:cs="Times New Roman" w:eastAsia="Times New Roman" w:hAnsi="Times New Roman"/>
                <w:sz w:val="18"/>
                <w:szCs w:val="18"/>
                <w:b w:val="1"/>
                <w:bCs w:val="1"/>
                <w:color w:val="auto"/>
              </w:rPr>
              <w:t>Immediate Change in Rates of:</w:t>
            </w:r>
          </w:p>
        </w:tc>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Static</w:t>
            </w: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1-12 Months</w:t>
            </w:r>
          </w:p>
        </w:tc>
        <w:tc>
          <w:tcPr>
            <w:tcW w:w="14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13-24 Months</w:t>
            </w:r>
          </w:p>
        </w:tc>
        <w:tc>
          <w:tcPr>
            <w:tcW w:w="0" w:type="dxa"/>
            <w:vAlign w:val="bottom"/>
          </w:tcPr>
          <w:p>
            <w:pPr>
              <w:spacing w:after="0"/>
              <w:rPr>
                <w:sz w:val="1"/>
                <w:szCs w:val="1"/>
                <w:color w:val="auto"/>
              </w:rPr>
            </w:pPr>
          </w:p>
        </w:tc>
      </w:tr>
      <w:tr>
        <w:trPr>
          <w:trHeight w:val="217"/>
        </w:trPr>
        <w:tc>
          <w:tcPr>
            <w:tcW w:w="5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+200</w:t>
            </w:r>
          </w:p>
        </w:tc>
        <w:tc>
          <w:tcPr>
            <w:tcW w:w="10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auto"/>
            </w:tcBorders>
            <w:shd w:val="clear" w:color="auto" w:fill="CCEEFF"/>
          </w:tcPr>
          <w:p>
            <w:pPr>
              <w:jc w:val="right"/>
              <w:ind w:right="852"/>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9.04%</w:t>
            </w:r>
          </w:p>
        </w:tc>
        <w:tc>
          <w:tcPr>
            <w:tcW w:w="0" w:type="dxa"/>
            <w:vAlign w:val="bottom"/>
          </w:tcPr>
          <w:p>
            <w:pPr>
              <w:spacing w:after="0"/>
              <w:rPr>
                <w:sz w:val="1"/>
                <w:szCs w:val="1"/>
                <w:color w:val="auto"/>
              </w:rPr>
            </w:pPr>
          </w:p>
        </w:tc>
      </w:tr>
      <w:tr>
        <w:trPr>
          <w:trHeight w:val="224"/>
        </w:trPr>
        <w:tc>
          <w:tcPr>
            <w:tcW w:w="5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100" w:type="dxa"/>
            <w:vAlign w:val="bottom"/>
          </w:tcPr>
          <w:p>
            <w:pPr>
              <w:spacing w:after="0"/>
              <w:rPr>
                <w:sz w:val="19"/>
                <w:szCs w:val="19"/>
                <w:color w:val="auto"/>
              </w:rPr>
            </w:pPr>
          </w:p>
        </w:tc>
        <w:tc>
          <w:tcPr>
            <w:tcW w:w="2340" w:type="dxa"/>
            <w:vAlign w:val="bottom"/>
          </w:tcPr>
          <w:p>
            <w:pPr>
              <w:jc w:val="right"/>
              <w:ind w:right="852"/>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19"/>
                <w:szCs w:val="19"/>
                <w:color w:val="auto"/>
              </w:rPr>
            </w:pPr>
          </w:p>
        </w:tc>
        <w:tc>
          <w:tcPr>
            <w:tcW w:w="130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5.03%</w:t>
            </w:r>
          </w:p>
        </w:tc>
        <w:tc>
          <w:tcPr>
            <w:tcW w:w="0" w:type="dxa"/>
            <w:vAlign w:val="bottom"/>
          </w:tcPr>
          <w:p>
            <w:pPr>
              <w:spacing w:after="0"/>
              <w:rPr>
                <w:sz w:val="1"/>
                <w:szCs w:val="1"/>
                <w:color w:val="auto"/>
              </w:rPr>
            </w:pPr>
          </w:p>
        </w:tc>
      </w:tr>
      <w:tr>
        <w:trPr>
          <w:trHeight w:val="224"/>
        </w:trPr>
        <w:tc>
          <w:tcPr>
            <w:tcW w:w="5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100" w:type="dxa"/>
            <w:vAlign w:val="bottom"/>
            <w:shd w:val="clear" w:color="auto" w:fill="CCEEFF"/>
          </w:tcPr>
          <w:p>
            <w:pPr>
              <w:spacing w:after="0"/>
              <w:rPr>
                <w:sz w:val="19"/>
                <w:szCs w:val="19"/>
                <w:color w:val="auto"/>
              </w:rPr>
            </w:pPr>
          </w:p>
        </w:tc>
        <w:tc>
          <w:tcPr>
            <w:tcW w:w="234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(5.03)%</w:t>
            </w:r>
          </w:p>
        </w:tc>
        <w:tc>
          <w:tcPr>
            <w:tcW w:w="0" w:type="dxa"/>
            <w:vAlign w:val="bottom"/>
          </w:tcPr>
          <w:p>
            <w:pPr>
              <w:spacing w:after="0"/>
              <w:rPr>
                <w:sz w:val="1"/>
                <w:szCs w:val="1"/>
                <w:color w:val="auto"/>
              </w:rPr>
            </w:pPr>
          </w:p>
        </w:tc>
      </w:tr>
      <w:tr>
        <w:trPr>
          <w:trHeight w:val="228"/>
        </w:trPr>
        <w:tc>
          <w:tcPr>
            <w:tcW w:w="5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-200</w:t>
            </w:r>
          </w:p>
        </w:tc>
        <w:tc>
          <w:tcPr>
            <w:tcW w:w="100" w:type="dxa"/>
            <w:vAlign w:val="bottom"/>
          </w:tcPr>
          <w:p>
            <w:pPr>
              <w:spacing w:after="0"/>
              <w:rPr>
                <w:sz w:val="19"/>
                <w:szCs w:val="19"/>
                <w:color w:val="auto"/>
              </w:rPr>
            </w:pPr>
          </w:p>
        </w:tc>
        <w:tc>
          <w:tcPr>
            <w:tcW w:w="234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rPr>
              <w:t>(7.94)%</w:t>
            </w:r>
          </w:p>
        </w:tc>
        <w:tc>
          <w:tcPr>
            <w:tcW w:w="120" w:type="dxa"/>
            <w:vAlign w:val="bottom"/>
          </w:tcPr>
          <w:p>
            <w:pPr>
              <w:spacing w:after="0"/>
              <w:rPr>
                <w:sz w:val="19"/>
                <w:szCs w:val="19"/>
                <w:color w:val="auto"/>
              </w:rPr>
            </w:pPr>
          </w:p>
        </w:tc>
        <w:tc>
          <w:tcPr>
            <w:tcW w:w="130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(10.51)%</w:t>
            </w:r>
          </w:p>
        </w:tc>
        <w:tc>
          <w:tcPr>
            <w:tcW w:w="0" w:type="dxa"/>
            <w:vAlign w:val="bottom"/>
          </w:tcPr>
          <w:p>
            <w:pPr>
              <w:spacing w:after="0"/>
              <w:rPr>
                <w:sz w:val="1"/>
                <w:szCs w:val="1"/>
                <w:color w:val="auto"/>
              </w:rPr>
            </w:pP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rate shock results for the EVE and net interest income simulations for the next 24 months produce an asset sensitive position at December 31, 2025.</w:t>
      </w:r>
    </w:p>
    <w:p>
      <w:pPr>
        <w:spacing w:after="0" w:line="16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preceding measures assume no change in the size or asset/liability compositions of the balance sheet, and they do not reflect future actions the ALCO may undertake in response to such changes in interest rates.</w:t>
      </w:r>
    </w:p>
    <w:p>
      <w:pPr>
        <w:spacing w:after="0" w:line="11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scenarios assume instantaneous movements in interest rates in the increments described in the table above. As interest rates are adjusted over a period of time, it is our strategy to proactively change the volume and mix of our balance sheet in order to mitigate our interest rate risk. The computation of the prospective effects of hypothetical interest rate changes requires numerous assumptions including asset prepayment speeds, the impact of competitive factors on our pricing of loans and deposits, how responsive our deposit repricing is to the change in market rates and the expected life of non-maturity deposits. These business assumptions are based upon our experience, business plans and published industry experience. Such assumptions may not necessarily reflect the manner or timing in which cash flows, asset yields and liability costs respond to changes in market rates. Because these assumptions are inherently uncertain, actual results will differ from simulated results.</w:t>
      </w:r>
    </w:p>
    <w:p>
      <w:pPr>
        <w:spacing w:after="0" w:line="1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utilizes derivative financial instruments, including interest rate contracts such as swaps, caps and/or floors, forward commitments, and interest rate lock commitments, as part of its ongoing efforts to mitigate its interest rate risk exposure. For more information about the Company’s derivative financial instruments, see the “Off-Balance Sheet Transactions” section below and Note 14, “Derivative Instruments,” in the Notes to Consolidated Financial Statements in Item 8, Financial Statements and Supplementary Data, in this report.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Liquidity management is the ability to meet the cash flow requirements of customers who may be either depositors wishing to withdraw funds or borrowers needing assurance that sufficient funds will be available to meet their credit needs.</w:t>
      </w:r>
    </w:p>
    <w:p>
      <w:pPr>
        <w:spacing w:after="0" w:line="1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Core deposits, which are deposits excluding brokered deposits, are the major source of funds used by the Bank to meet short- and long-term cash flow needs. Maintaining the ability to acquire these funds as needed in a variety of markets is the key to assuring the Bank’s liquidity. We may also choose to access the brokered deposit market where rates are favorable to other sources of liquidity, although we did not hold any brokered deposits at December 31, 2025 or December 31, 2024. Management continually monitors the Bank’s liquidity and non-core dependency ratios to ensure compliance with targets established by the ALCO.</w:t>
      </w:r>
    </w:p>
    <w:p>
      <w:pPr>
        <w:spacing w:after="0" w:line="1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investment portfolio is another alternative for meeting liquidity needs. These assets generally have readily available markets that offer conversions to cash as needed. Within the next twelve months the securities portfolio is forecasted to generate cash flow through principal payments and maturities equal to 14.8% of the carrying value of the total securities portfolio. Securities within our investment portfolio are also used to secure certain deposit types and short-term borrowings. At December 31, 2025, securities with a carrying value of $1,760,542 were pledged to secure government, public, trust, and other deposits and as collateral for short-term borrowings and derivative instruments as compared to $843,870 at December 31, 2024.</w:t>
      </w:r>
    </w:p>
    <w:p>
      <w:pPr>
        <w:spacing w:after="0" w:line="1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Other sources available for meeting short- and long-term liquidity needs include federal funds purchased, security repurchase agreements, short-term and long-term advances from the FHLB, borrowings from the Federal Reserve Discount Window and lines of credit with other commercial banks. Interest is charged at the prevailing market rate on these borrowings. Federal funds are short term borrowings, generally overnight borrowings, between financial institutions, while security repurchase agreements represent funds received from customers, generally on an overnight or continuous basis, that are collateralized by investment securities owned or, at times, borrowed and re-hypothecated by the Company. There were no federal funds purchased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58" w:name="page59"/>
    <w:bookmarkEnd w:id="58"/>
    <w:p>
      <w:pPr>
        <w:jc w:val="both"/>
        <w:spacing w:after="0" w:line="247" w:lineRule="auto"/>
        <w:rPr>
          <w:sz w:val="20"/>
          <w:szCs w:val="20"/>
          <w:color w:val="auto"/>
        </w:rPr>
      </w:pPr>
      <w:r>
        <w:rPr>
          <w:rFonts w:ascii="Times New Roman" w:cs="Times New Roman" w:eastAsia="Times New Roman" w:hAnsi="Times New Roman"/>
          <w:sz w:val="18"/>
          <w:szCs w:val="18"/>
          <w:color w:val="auto"/>
        </w:rPr>
        <w:t>outstanding at December 31, 2025, and 2024, while security repurchase agreements were $5,774 at December 31, 2025, as compared to $8,018 at December 31, 2024. The Company had $550,000 and $100,000 in short-term borrowings from the FHLB (i.e., advances with original maturities less than one year) at December 31, 2025, and 2024, respectively. Long-term FHLB borrowings are used to match-fund fixed rate loans in order to minimize interest rate risk and also are used to meet day-to-day liquidity needs, particularly when the cost of such borrowings compares favorably to the rates that we would be required to pay to attract deposits. At December 31, 2025 and 2024, there were no outstanding long-term advances with the FHLB. The total amount of the remaining credit available to us from the FHLB at December 31, 2025 was $5,574,759. The credit available at the Federal Reserve Discount Window at December 31, 2025 was $657,277 with no borrowings outstanding as of such date. Finally, we maintain lines of credit with other commercial banks totaling $140,000. These are unsecured, uncommitted lines of credit maturing at various times within the next twelve months. There were no amounts outstanding under these lines of credit at December 31, 2025 or 2024.</w:t>
      </w:r>
    </w:p>
    <w:p>
      <w:pPr>
        <w:spacing w:after="0" w:line="13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Finally, we can access the capital markets to meet liquidity needs. The Company maintains a shelf registration statement with the SEC, which allows the Company to raise capital from time to time through the sale of common stock, preferred stock, debt securities, warrants and units, or a combination thereof, subject to market conditions. Specific terms and prices will be determined at the time of any offering under a separate prospectus supplement that the Company will be required to file with the SEC at the time of the specific offering. The proceeds of the sale of securities, if and when offered, will be used as described in any prospectus supplement and could include general corporate purposes, the expansion of the Company’s banking and wealth management operations as well as other business opportunities. Although we did not access the capital markets in 2025, in previous years we have generated liquidity through the capital markets by offerings of common stock and subordinated notes (the latter as discussed under the heading “Borrowed Funds” in this Item 7).</w:t>
      </w:r>
    </w:p>
    <w:p>
      <w:pPr>
        <w:spacing w:after="0" w:line="10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Our strategy in choosing funding sources is focused on minimizing cost in the context of our balance sheet composition, interest rate risk position and our immediate and future liquidity needs to fund loan growth and other cash needs of customers. Accordingly, management targets growth of non-interest bearing deposits. While we do not control the types of deposit instruments our clients choose, we do influence those choices with the rates and the deposit specials we offer. We constantly monitor our funds position, short- and long-term liquidity needs and evaluate the effect that various funding sources have on our financial position. The following table presents, by type, the Company’s funding sources, which consist of total average deposits and borrowed funds, and the total cost of each funding source for each of the years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040" w:type="dxa"/>
            <w:vAlign w:val="bottom"/>
          </w:tcPr>
          <w:p>
            <w:pPr>
              <w:spacing w:after="0"/>
              <w:rPr>
                <w:sz w:val="20"/>
                <w:szCs w:val="20"/>
                <w:color w:val="auto"/>
              </w:rPr>
            </w:pPr>
          </w:p>
        </w:tc>
        <w:tc>
          <w:tcPr>
            <w:tcW w:w="2660" w:type="dxa"/>
            <w:vAlign w:val="bottom"/>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Percentage of Total</w:t>
            </w:r>
          </w:p>
        </w:tc>
        <w:tc>
          <w:tcPr>
            <w:tcW w:w="2540" w:type="dxa"/>
            <w:vAlign w:val="bottom"/>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Cost of Funds</w:t>
            </w:r>
          </w:p>
        </w:tc>
      </w:tr>
      <w:tr>
        <w:trPr>
          <w:trHeight w:val="217"/>
        </w:trPr>
        <w:tc>
          <w:tcPr>
            <w:tcW w:w="604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7"/>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Noninterest-bearing demand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23.16 %</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23.61 %</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95"/>
              </w:rPr>
              <w:t>— %</w:t>
            </w:r>
          </w:p>
        </w:tc>
      </w:tr>
      <w:tr>
        <w:trPr>
          <w:trHeight w:val="224"/>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Interest-bearing demand</w:t>
            </w: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51.03</w:t>
            </w:r>
          </w:p>
        </w:tc>
        <w:tc>
          <w:tcPr>
            <w:tcW w:w="10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48.80</w:t>
            </w:r>
          </w:p>
        </w:tc>
        <w:tc>
          <w:tcPr>
            <w:tcW w:w="80" w:type="dxa"/>
            <w:vAlign w:val="bottom"/>
          </w:tcPr>
          <w:p>
            <w:pPr>
              <w:spacing w:after="0"/>
              <w:rPr>
                <w:sz w:val="19"/>
                <w:szCs w:val="19"/>
                <w:color w:val="auto"/>
              </w:rPr>
            </w:pPr>
          </w:p>
        </w:tc>
        <w:tc>
          <w:tcPr>
            <w:tcW w:w="12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9"/>
                <w:szCs w:val="19"/>
                <w:color w:val="auto"/>
              </w:rPr>
            </w:pPr>
          </w:p>
        </w:tc>
        <w:tc>
          <w:tcPr>
            <w:tcW w:w="12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3.12</w:t>
            </w:r>
          </w:p>
        </w:tc>
      </w:tr>
      <w:tr>
        <w:trPr>
          <w:trHeight w:val="224"/>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Savings</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5.58</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0.35</w:t>
            </w:r>
          </w:p>
        </w:tc>
      </w:tr>
      <w:tr>
        <w:trPr>
          <w:trHeight w:val="224"/>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Brokered deposits</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5.46</w:t>
            </w:r>
          </w:p>
        </w:tc>
      </w:tr>
      <w:tr>
        <w:trPr>
          <w:trHeight w:val="224"/>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15.46</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16.60</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4.22</w:t>
            </w:r>
          </w:p>
        </w:tc>
      </w:tr>
      <w:tr>
        <w:trPr>
          <w:trHeight w:val="224"/>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12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3.81</w:t>
            </w:r>
          </w:p>
        </w:tc>
        <w:tc>
          <w:tcPr>
            <w:tcW w:w="8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5.12</w:t>
            </w:r>
          </w:p>
        </w:tc>
      </w:tr>
      <w:tr>
        <w:trPr>
          <w:trHeight w:val="242"/>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deposits and borrowed funds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7"/>
              </w:rPr>
              <w:t>2.53 %</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Cash and cash equivalents were $1,070,718 at December 31, 2025, compared to $1,092,032 at December 31, 2024. Cash used in investing activities for the year ended December 31, 2025 was $734,025 compared to $275,030 in 2024. Proceeds from the sale, maturity or call of securities within our investment portfolio were $1,099,804 for 2025 compared to $368,193 for 2024. As noted earlier, we sold certain securities from the portfolio acquired in connection with our acquisition of The First, resulting in proceeds of $686,485. We also sold a portion of the securities portfolio during the first quarter of 2024, generating proceeds of $177,185. A portion of these proceeds were used to purchase higher yielding securities, while the remainder was used to fund loan growth. Purchases of investment securities were $1,201,061 for 2025 compared to $174,229 for 2024.</w:t>
      </w:r>
    </w:p>
    <w:p>
      <w:pPr>
        <w:spacing w:after="0" w:line="13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Cash provided by financing activities for the year ended December 31, 2025 was $441,240 compared to $459,296 for the year ended December 31, 2024. Total deposits increased $443,674 for the year ended December 31, 2025 compared to an increase of $495,827 for 2024.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Restrictions on Bank Dividends, Loans and Advances</w:t>
      </w:r>
    </w:p>
    <w:p>
      <w:pPr>
        <w:spacing w:after="0" w:line="1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liquidity and capital resources, as well as its ability to pay dividends to our shareholders, are substantially dependent on the ability of the Bank to transfer funds to the Company in the form of dividends, loans and advances. Under Mississippi law, a Mississippi bank may not pay dividends unless its earned surplus is in excess of three times capital stock. A Mississippi bank with earned surplus in excess of three times capital stock may pay a dividend, subject to the approval of the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59" w:name="page60"/>
    <w:bookmarkEnd w:id="59"/>
    <w:p>
      <w:pPr>
        <w:jc w:val="both"/>
        <w:spacing w:after="0" w:line="249" w:lineRule="auto"/>
        <w:rPr>
          <w:sz w:val="20"/>
          <w:szCs w:val="20"/>
          <w:color w:val="auto"/>
        </w:rPr>
      </w:pPr>
      <w:r>
        <w:rPr>
          <w:rFonts w:ascii="Times New Roman" w:cs="Times New Roman" w:eastAsia="Times New Roman" w:hAnsi="Times New Roman"/>
          <w:sz w:val="18"/>
          <w:szCs w:val="18"/>
          <w:color w:val="auto"/>
        </w:rPr>
        <w:t>DBCF. In addition, Federal Reserve regulations prohibit a member bank from paying a dividend without prior approval from the Federal Reserve if either (1) the total of all dividends declared during the calendar year, including the proposed dividend, exceeds the sum of the bank’s net income for the current year plus its retained net income of the prior two calendar years or (2) the dividend would exceed the bank’s undivided profits as reportable on its Reports of Condition and Income. In this latter scenario, Federal Reserve regulations also require that at least two-thirds of the bank’s shareholders approve the proposed dividend. Accordingly, the approval of the DBCF is required prior to the Bank paying dividends to the Company, and under certain circumstances Federal Reserve approval may also be required.</w:t>
      </w:r>
    </w:p>
    <w:p>
      <w:pPr>
        <w:spacing w:after="0" w:line="13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addition to the restrictions on dividends payable by the Bank to the Company, the Federal Reserve also has provided guidance on the criteria that it will use to evaluate the request by a bank holding company to pay dividends in an aggregate amount that will exceed the company’s earnings for the period in which the dividends will be paid. For purposes of this analysis, “dividend” includes not only dividends on preferred and common equity but also dividends on debt underlying trust preferred securities and Tier 1 capital instruments. The Federal Reserve’s criteria evaluates whether the holding company (1) has net income over the past four quarters sufficient to fully fund the proposed dividend (taking into account prior dividends paid during this period), (2) is considering stock repurchases or redemptions in the quarter, (3) does not have a concentration in commercial real estate and (4) is in good supervisory condition, based on its overall condition and its asset quality risk. A holding company not meeting these criteria will require more in-depth consultations with the Federal Reserve. With respect to the second quarter of 2025, due to the impact of the Day 1 acquisition provision and the merger and conversion related expenses we incurred in such quarter, the Company’s net income for the immediately-preceding four quarters was not sufficient to cover the second quarter dividend, and accordingly Federal Reserve consultation was necessary prior to the payment of our June 30, 2025 dividend. Otherwise, this guidance was not applicable to the Company for 2025 or 2024.</w:t>
      </w:r>
    </w:p>
    <w:p>
      <w:pPr>
        <w:spacing w:after="0" w:line="14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Federal Reserve regulations also limit the amount the Bank may loan to the Company unless such loans are collateralized by specific obligations. At December 31, 2025, the maximum amount available for transfer from the Bank to the Company in the form of loans was $286,062. The Company maintains a line of credit collateralized by cash with the Bank totaling $3,000. There were no amounts outstanding under this line of credit at December 31, 2025.</w:t>
      </w:r>
    </w:p>
    <w:p>
      <w:pPr>
        <w:spacing w:after="0" w:line="9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None of these restrictions had any material impact on the Company’s ability to meet its cash obligations in 2025, nor does management expect such restrictions to so impact the Company’s ability to meet its currently-anticipated cash obligations.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1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 presents, as of December 31, 2025, significant fixed and determinable contractual obligations to third parties by payment date, that may impact the Company’s liquidity position. The Note Reference below refers to the applicable footnote in the Notes to Consolidated Financial Statements in Item 8, Financial Statements and Supplementary Data, in this report.</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w w:val="97"/>
              </w:rPr>
              <w:t>Payments Due In:</w:t>
            </w: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13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4"/>
              </w:rPr>
              <w:t>Note</w:t>
            </w:r>
          </w:p>
        </w:tc>
        <w:tc>
          <w:tcPr>
            <w:tcW w:w="160" w:type="dxa"/>
            <w:vAlign w:val="bottom"/>
          </w:tcPr>
          <w:p>
            <w:pPr>
              <w:spacing w:after="0"/>
              <w:rPr>
                <w:sz w:val="14"/>
                <w:szCs w:val="14"/>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Less Than</w:t>
            </w:r>
          </w:p>
        </w:tc>
        <w:tc>
          <w:tcPr>
            <w:tcW w:w="220" w:type="dxa"/>
            <w:vAlign w:val="bottom"/>
          </w:tcPr>
          <w:p>
            <w:pPr>
              <w:spacing w:after="0"/>
              <w:rPr>
                <w:sz w:val="14"/>
                <w:szCs w:val="14"/>
                <w:color w:val="auto"/>
              </w:rPr>
            </w:pPr>
          </w:p>
        </w:tc>
        <w:tc>
          <w:tcPr>
            <w:tcW w:w="960" w:type="dxa"/>
            <w:vAlign w:val="bottom"/>
          </w:tcPr>
          <w:p>
            <w:pPr>
              <w:jc w:val="center"/>
              <w:ind w:right="132"/>
              <w:spacing w:after="0" w:line="164" w:lineRule="exact"/>
              <w:rPr>
                <w:sz w:val="20"/>
                <w:szCs w:val="20"/>
                <w:color w:val="auto"/>
              </w:rPr>
            </w:pPr>
            <w:r>
              <w:rPr>
                <w:rFonts w:ascii="Times New Roman" w:cs="Times New Roman" w:eastAsia="Times New Roman" w:hAnsi="Times New Roman"/>
                <w:sz w:val="18"/>
                <w:szCs w:val="18"/>
                <w:b w:val="1"/>
                <w:bCs w:val="1"/>
                <w:color w:val="auto"/>
                <w:w w:val="96"/>
              </w:rPr>
              <w:t>One to</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Three to</w:t>
            </w:r>
          </w:p>
        </w:tc>
        <w:tc>
          <w:tcPr>
            <w:tcW w:w="160" w:type="dxa"/>
            <w:vAlign w:val="bottom"/>
          </w:tcPr>
          <w:p>
            <w:pPr>
              <w:spacing w:after="0"/>
              <w:rPr>
                <w:sz w:val="14"/>
                <w:szCs w:val="14"/>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Over Five</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center"/>
              <w:ind w:right="152"/>
              <w:spacing w:after="0" w:line="171" w:lineRule="exact"/>
              <w:rPr>
                <w:sz w:val="20"/>
                <w:szCs w:val="20"/>
                <w:color w:val="auto"/>
              </w:rPr>
            </w:pPr>
            <w:r>
              <w:rPr>
                <w:rFonts w:ascii="Times New Roman" w:cs="Times New Roman" w:eastAsia="Times New Roman" w:hAnsi="Times New Roman"/>
                <w:sz w:val="18"/>
                <w:szCs w:val="18"/>
                <w:b w:val="1"/>
                <w:bCs w:val="1"/>
                <w:color w:val="auto"/>
                <w:w w:val="95"/>
              </w:rPr>
              <w:t>Three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vMerge w:val="restart"/>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7"/>
        </w:trPr>
        <w:tc>
          <w:tcPr>
            <w:tcW w:w="338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Reference</w:t>
            </w:r>
          </w:p>
        </w:tc>
        <w:tc>
          <w:tcPr>
            <w:tcW w:w="160" w:type="dxa"/>
            <w:vAlign w:val="bottom"/>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One Year</w:t>
            </w:r>
          </w:p>
        </w:tc>
        <w:tc>
          <w:tcPr>
            <w:tcW w:w="220" w:type="dxa"/>
            <w:vAlign w:val="bottom"/>
          </w:tcPr>
          <w:p>
            <w:pPr>
              <w:spacing w:after="0"/>
              <w:rPr>
                <w:sz w:val="20"/>
                <w:szCs w:val="20"/>
                <w:color w:val="auto"/>
              </w:rPr>
            </w:pPr>
          </w:p>
        </w:tc>
        <w:tc>
          <w:tcPr>
            <w:tcW w:w="960" w:type="dxa"/>
            <w:vAlign w:val="bottom"/>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3"/>
              </w:rPr>
              <w:t>Years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2"/>
              </w:rPr>
              <w:t>Five Years</w:t>
            </w:r>
          </w:p>
        </w:tc>
        <w:tc>
          <w:tcPr>
            <w:tcW w:w="16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3"/>
              </w:rPr>
              <w:t>Years</w:t>
            </w:r>
          </w:p>
        </w:tc>
        <w:tc>
          <w:tcPr>
            <w:tcW w:w="26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3380" w:type="dxa"/>
            <w:vAlign w:val="bottom"/>
            <w:tcBorders>
              <w:top w:val="single" w:sz="8" w:color="CCEEFF"/>
            </w:tcBorders>
            <w:shd w:val="clear" w:color="auto" w:fill="CCEEFF"/>
          </w:tcPr>
          <w:p>
            <w:pPr>
              <w:ind w:left="20"/>
              <w:spacing w:after="0" w:line="218" w:lineRule="exact"/>
              <w:rPr>
                <w:sz w:val="20"/>
                <w:szCs w:val="20"/>
                <w:color w:val="auto"/>
              </w:rPr>
            </w:pPr>
            <w:r>
              <w:rPr>
                <w:rFonts w:ascii="Times New Roman" w:cs="Times New Roman" w:eastAsia="Times New Roman" w:hAnsi="Times New Roman"/>
                <w:sz w:val="18"/>
                <w:szCs w:val="18"/>
                <w:color w:val="auto"/>
              </w:rPr>
              <w:t>Lease liabilities</w:t>
            </w:r>
            <w:r>
              <w:rPr>
                <w:rFonts w:ascii="Times New Roman" w:cs="Times New Roman" w:eastAsia="Times New Roman" w:hAnsi="Times New Roman"/>
                <w:sz w:val="22"/>
                <w:szCs w:val="22"/>
                <w:color w:val="auto"/>
                <w:vertAlign w:val="superscript"/>
              </w:rPr>
              <w:t>(1)</w:t>
            </w: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6,939</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11,961</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45,424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77,151</w:t>
            </w:r>
          </w:p>
        </w:tc>
        <w:tc>
          <w:tcPr>
            <w:tcW w:w="0" w:type="dxa"/>
            <w:vAlign w:val="bottom"/>
          </w:tcPr>
          <w:p>
            <w:pPr>
              <w:spacing w:after="0"/>
              <w:rPr>
                <w:sz w:val="1"/>
                <w:szCs w:val="1"/>
                <w:color w:val="auto"/>
              </w:rPr>
            </w:pPr>
          </w:p>
        </w:tc>
      </w:tr>
      <w:tr>
        <w:trPr>
          <w:trHeight w:val="224"/>
        </w:trPr>
        <w:tc>
          <w:tcPr>
            <w:tcW w:w="338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Deposits without a stated maturity</w:t>
            </w:r>
            <w:r>
              <w:rPr>
                <w:rFonts w:ascii="Times New Roman" w:cs="Times New Roman" w:eastAsia="Times New Roman" w:hAnsi="Times New Roman"/>
                <w:sz w:val="22"/>
                <w:szCs w:val="22"/>
                <w:color w:val="auto"/>
                <w:vertAlign w:val="superscript"/>
              </w:rPr>
              <w:t>(2)</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17,989,176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17,989,176</w:t>
            </w:r>
          </w:p>
        </w:tc>
        <w:tc>
          <w:tcPr>
            <w:tcW w:w="0" w:type="dxa"/>
            <w:vAlign w:val="bottom"/>
          </w:tcPr>
          <w:p>
            <w:pPr>
              <w:spacing w:after="0"/>
              <w:rPr>
                <w:sz w:val="1"/>
                <w:szCs w:val="1"/>
                <w:color w:val="auto"/>
              </w:rPr>
            </w:pPr>
          </w:p>
        </w:tc>
      </w:tr>
      <w:tr>
        <w:trPr>
          <w:trHeight w:val="224"/>
        </w:trPr>
        <w:tc>
          <w:tcPr>
            <w:tcW w:w="338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Time deposits</w:t>
            </w:r>
            <w:r>
              <w:rPr>
                <w:rFonts w:ascii="Times New Roman" w:cs="Times New Roman" w:eastAsia="Times New Roman" w:hAnsi="Times New Roman"/>
                <w:sz w:val="22"/>
                <w:szCs w:val="22"/>
                <w:color w:val="auto"/>
                <w:vertAlign w:val="superscript"/>
              </w:rPr>
              <w:t>(2)</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3,317,995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3,483,894</w:t>
            </w:r>
          </w:p>
        </w:tc>
        <w:tc>
          <w:tcPr>
            <w:tcW w:w="0" w:type="dxa"/>
            <w:vAlign w:val="bottom"/>
          </w:tcPr>
          <w:p>
            <w:pPr>
              <w:spacing w:after="0"/>
              <w:rPr>
                <w:sz w:val="1"/>
                <w:szCs w:val="1"/>
                <w:color w:val="auto"/>
              </w:rPr>
            </w:pPr>
          </w:p>
        </w:tc>
      </w:tr>
      <w:tr>
        <w:trPr>
          <w:trHeight w:val="224"/>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Short-term Federal Home Loan Bank advances</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0" w:type="dxa"/>
            <w:vAlign w:val="bottom"/>
          </w:tcPr>
          <w:p>
            <w:pPr>
              <w:spacing w:after="0"/>
              <w:rPr>
                <w:sz w:val="1"/>
                <w:szCs w:val="1"/>
                <w:color w:val="auto"/>
              </w:rPr>
            </w:pPr>
          </w:p>
        </w:tc>
      </w:tr>
      <w:tr>
        <w:trPr>
          <w:trHeight w:val="224"/>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short-term borrowings</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5,774</w:t>
            </w:r>
          </w:p>
        </w:tc>
        <w:tc>
          <w:tcPr>
            <w:tcW w:w="0" w:type="dxa"/>
            <w:vAlign w:val="bottom"/>
          </w:tcPr>
          <w:p>
            <w:pPr>
              <w:spacing w:after="0"/>
              <w:rPr>
                <w:sz w:val="1"/>
                <w:szCs w:val="1"/>
                <w:color w:val="auto"/>
              </w:rPr>
            </w:pPr>
          </w:p>
        </w:tc>
      </w:tr>
      <w:tr>
        <w:trPr>
          <w:trHeight w:val="224"/>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Junior subordinated debentures</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140,632</w:t>
            </w:r>
          </w:p>
        </w:tc>
        <w:tc>
          <w:tcPr>
            <w:tcW w:w="0" w:type="dxa"/>
            <w:vAlign w:val="bottom"/>
          </w:tcPr>
          <w:p>
            <w:pPr>
              <w:spacing w:after="0"/>
              <w:rPr>
                <w:sz w:val="1"/>
                <w:szCs w:val="1"/>
                <w:color w:val="auto"/>
              </w:rPr>
            </w:pPr>
          </w:p>
        </w:tc>
      </w:tr>
      <w:tr>
        <w:trPr>
          <w:trHeight w:val="224"/>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Subordinated notes</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359,124</w:t>
            </w:r>
          </w:p>
        </w:tc>
        <w:tc>
          <w:tcPr>
            <w:tcW w:w="0" w:type="dxa"/>
            <w:vAlign w:val="bottom"/>
          </w:tcPr>
          <w:p>
            <w:pPr>
              <w:spacing w:after="0"/>
              <w:rPr>
                <w:sz w:val="1"/>
                <w:szCs w:val="1"/>
                <w:color w:val="auto"/>
              </w:rPr>
            </w:pPr>
          </w:p>
        </w:tc>
      </w:tr>
      <w:tr>
        <w:trPr>
          <w:trHeight w:val="217"/>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21,869,884</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142,096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35,377</w:t>
            </w:r>
          </w:p>
        </w:tc>
        <w:tc>
          <w:tcPr>
            <w:tcW w:w="10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558,394</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22,605,751</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320" w:hanging="315"/>
        <w:spacing w:after="0"/>
        <w:tabs>
          <w:tab w:leader="none" w:pos="3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undiscounted cash flows.</w:t>
      </w:r>
    </w:p>
    <w:p>
      <w:pPr>
        <w:spacing w:after="0" w:line="12"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interest.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i w:val="1"/>
          <w:iCs w:val="1"/>
          <w:color w:val="auto"/>
        </w:rPr>
        <w:t>Off-Balance Sheet Commitments</w:t>
      </w:r>
    </w:p>
    <w:p>
      <w:pPr>
        <w:spacing w:after="0" w:line="1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enters into loan commitments, standby letters of credit and derivative financial instruments in the normal course of its business. Loan commitments are made to accommodate the financial needs of the Company’s customers. Standby letters of credit commit the Company to make payments on behalf of customers when certain specified future events occur. Both arrangements have credit risk essentially the same as that involved in extending loans to customers and are subject to the Company’s normal credit policies. Collateral (e.g., securities, receivables, inventory, equipment, etc.) is obtained based on management’s credit assessment of the customer.</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Loan commitments and standby letters of credit do not necessarily represent future cash requirements of the Company. While the borrower has the ability to draw upon these commitments at any time (assuming the borrower’s compliance with the terms of the loan commitment), these commitments often expire without being drawn upon. The Company’s unfunded loan commitments and standby letters of credit outstanding at December 31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2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commitments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3,662,810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2,856,308</w:t>
            </w: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Standby letters of credit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90,267</w:t>
            </w:r>
          </w:p>
        </w:tc>
      </w:tr>
    </w:tbl>
    <w:p>
      <w:pPr>
        <w:spacing w:after="0" w:line="2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Company closely monitors the amount of remaining future commitments to borrowers in light of prevailing economic conditions and adjusts these commitments as necessary. The Company will continue this process as new commitments are entered into or existing commitments are renewed.</w:t>
      </w:r>
    </w:p>
    <w:p>
      <w:pPr>
        <w:spacing w:after="0" w:line="11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Company utilizes derivative financial instruments, including interest rate contracts such as swaps, caps, floors and/or collars, as part of its ongoing efforts to mitigate its interest rate risk exposure and to facilitate the needs of its customers. The Company enters into derivative instruments that are not designated as hedging instruments to help its commercial customers manage their exposure to interest rate fluctuations. To mitigate the interest rate risk associated with these customer contracts, the Company enters into an offsetting derivative contract position with other financial institutions. The Company manages its credit risk, or potential risk of default by its commercial customers, through credit limit approval and monitoring procedures. At December 31, 2025, the Company had notional amounts of $1,784,028 on interest rate contracts with corporate customers and $1,784,028 in offsetting interest rate contracts with other financial institutions to mitigate the Company’s rate exposure on its corporate customers’ contracts.</w:t>
      </w:r>
    </w:p>
    <w:p>
      <w:pPr>
        <w:spacing w:after="0" w:line="13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Additionally, the Company enters into interest rate lock commitments with its customers to mitigate the interest rate risk associated with the commitments to fund fixed-rate residential mortgage loans and also enters into forward commitments to sell residential mortgage loans to secondary market investors.</w:t>
      </w:r>
    </w:p>
    <w:p>
      <w:pPr>
        <w:spacing w:after="0" w:line="1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Finally, the Company enters into forward interest rate swap contracts on its FHLB borrowings and its junior subordinated debentures that are accounted for as cash flow hedges. Under each of these contracts, the Company pays a fixed rate of interest and receives a variable rate of interest. The Company entered into an interest rate swap contract on its subordinated notes that is accounted for as a fair value hedge. Under this contract, the Company pays a variable rate of interest and receives a fixed rate of interest.</w:t>
      </w:r>
    </w:p>
    <w:p>
      <w:pPr>
        <w:spacing w:after="0" w:line="1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more information about the Company’s off-balance sheet transactions, see Note 14, “Derivative Instruments” and Note 19, “Commitments, Contingent Liabilities and Financial Instruments with Off-Balance Sheet Risk,” in the Notes to Consolidated Financial Statements in Item 8, Financial Statements and Supplementary Data, in this report.</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Equity and Regulatory Matters</w:t>
      </w:r>
    </w:p>
    <w:p>
      <w:pPr>
        <w:spacing w:after="0" w:line="1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Total shareholders’ equity of the Company was $3,884,905 and $2,678,318 at December 31, 2025 and 2024, respectively. Book value per share was $41.05 and $42.13 at December 31, 2025 and 2024, respectively. The increase in shareholders’ equity was attributable to the merger with The First, earnings retention and changes in accumulated other comprehensive income, offset by dividends declared and stock repurchased during the year.</w:t>
      </w:r>
    </w:p>
    <w:p>
      <w:pPr>
        <w:spacing w:after="0" w:line="1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October 2025, the Company’s Board of Directors approved a stock repurchase program, authorizing the Company to repurchase up to $150,000 of its outstanding common stock, either in open market purchases or privately-negotiated transactions. During the fourth quarter of 2025, the Company repurchased 388,940 shares under the program at an average price of $34.29 per share. The program will remain in effect until the earlier of October 2026 or the repurchase of the entire amount of common stock authorized to be repurchased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61" w:name="page62"/>
    <w:bookmarkEnd w:id="61"/>
    <w:p>
      <w:pPr>
        <w:jc w:val="both"/>
        <w:spacing w:after="0" w:line="303" w:lineRule="auto"/>
        <w:rPr>
          <w:sz w:val="20"/>
          <w:szCs w:val="20"/>
          <w:color w:val="auto"/>
        </w:rPr>
      </w:pPr>
      <w:r>
        <w:rPr>
          <w:rFonts w:ascii="Times New Roman" w:cs="Times New Roman" w:eastAsia="Times New Roman" w:hAnsi="Times New Roman"/>
          <w:sz w:val="16"/>
          <w:szCs w:val="16"/>
          <w:color w:val="auto"/>
        </w:rPr>
        <w:t>The Company has junior subordinated debentures with a carrying value of $140,632 at December 31, 2025, of which $136,235 are included in the Company’s Tier 2 capital. The Company has subordinated notes with a carrying value of $359,124 at December 31, 2025, and $316,698 at December 31, 2024 included in the Company’s Tier 2 capital. On October 1, 2025, the Company redeemed $60,000 in subordinated notes assumed as part of its merger with The First.</w:t>
      </w:r>
    </w:p>
    <w:p>
      <w:pPr>
        <w:spacing w:after="0" w:line="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Federal Reserve, the FDIC and the Office of the Comptroller of the Currency have issued guidelines governing the levels of capital that bank holding companies and banks must maintain. Those guidelines specify capital tiers, which include the following classifications (which include the “capital conservation buffer” discussed below):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Tier 1 Capital to</w:t>
            </w:r>
          </w:p>
        </w:tc>
        <w:tc>
          <w:tcPr>
            <w:tcW w:w="100" w:type="dxa"/>
            <w:vAlign w:val="bottom"/>
          </w:tcPr>
          <w:p>
            <w:pPr>
              <w:spacing w:after="0"/>
              <w:rPr>
                <w:sz w:val="13"/>
                <w:szCs w:val="13"/>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Common Equity Tier</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Tier 1 Capital to</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Capital to</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Capital Tiers</w:t>
            </w:r>
          </w:p>
        </w:tc>
        <w:tc>
          <w:tcPr>
            <w:tcW w:w="140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7"/>
              </w:rPr>
              <w:t>Average Assets</w:t>
            </w:r>
          </w:p>
        </w:tc>
        <w:tc>
          <w:tcPr>
            <w:tcW w:w="100" w:type="dxa"/>
            <w:vAlign w:val="bottom"/>
          </w:tcPr>
          <w:p>
            <w:pPr>
              <w:spacing w:after="0"/>
              <w:rPr>
                <w:sz w:val="12"/>
                <w:szCs w:val="12"/>
                <w:color w:val="auto"/>
              </w:rPr>
            </w:pPr>
          </w:p>
        </w:tc>
        <w:tc>
          <w:tcPr>
            <w:tcW w:w="160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w w:val="99"/>
              </w:rPr>
              <w:t>1 to</w:t>
            </w:r>
          </w:p>
        </w:tc>
        <w:tc>
          <w:tcPr>
            <w:tcW w:w="150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w w:val="99"/>
              </w:rPr>
              <w:t>Risk - Weighted</w:t>
            </w:r>
          </w:p>
        </w:tc>
        <w:tc>
          <w:tcPr>
            <w:tcW w:w="140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Risk - Weighted</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100" w:type="dxa"/>
            <w:vAlign w:val="bottom"/>
            <w:gridSpan w:val="2"/>
            <w:vMerge w:val="continue"/>
          </w:tcPr>
          <w:p>
            <w:pPr>
              <w:spacing w:after="0"/>
              <w:rPr>
                <w:sz w:val="12"/>
                <w:szCs w:val="12"/>
                <w:color w:val="auto"/>
              </w:rPr>
            </w:pPr>
          </w:p>
        </w:tc>
        <w:tc>
          <w:tcPr>
            <w:tcW w:w="14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(Leverage)</w:t>
            </w:r>
          </w:p>
        </w:tc>
        <w:tc>
          <w:tcPr>
            <w:tcW w:w="100" w:type="dxa"/>
            <w:vAlign w:val="bottom"/>
          </w:tcPr>
          <w:p>
            <w:pPr>
              <w:spacing w:after="0"/>
              <w:rPr>
                <w:sz w:val="12"/>
                <w:szCs w:val="12"/>
                <w:color w:val="auto"/>
              </w:rPr>
            </w:pPr>
          </w:p>
        </w:tc>
        <w:tc>
          <w:tcPr>
            <w:tcW w:w="1600" w:type="dxa"/>
            <w:vAlign w:val="bottom"/>
            <w:gridSpan w:val="2"/>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Risk - Weighted Assets</w:t>
            </w:r>
          </w:p>
        </w:tc>
        <w:tc>
          <w:tcPr>
            <w:tcW w:w="1500" w:type="dxa"/>
            <w:vAlign w:val="bottom"/>
            <w:gridSpan w:val="2"/>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rPr>
              <w:t>Assets</w:t>
            </w:r>
          </w:p>
        </w:tc>
        <w:tc>
          <w:tcPr>
            <w:tcW w:w="14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800" w:type="dxa"/>
            <w:vAlign w:val="bottom"/>
            <w:tcBorders>
              <w:top w:val="single" w:sz="8" w:color="auto"/>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 capitalized</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 or above</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6.5% or above</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 or above</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 or above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Adequately capitalized</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 or above</w:t>
            </w:r>
          </w:p>
        </w:tc>
        <w:tc>
          <w:tcPr>
            <w:tcW w:w="100" w:type="dxa"/>
            <w:vAlign w:val="bottom"/>
          </w:tcPr>
          <w:p>
            <w:pPr>
              <w:spacing w:after="0"/>
              <w:rPr>
                <w:sz w:val="19"/>
                <w:szCs w:val="19"/>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4.5% or above</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6% or above</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 or above</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Undercapitalized</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Less than 4%</w:t>
            </w: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7"/>
              </w:rPr>
              <w:t>Less than 4.5%</w:t>
            </w:r>
          </w:p>
        </w:tc>
        <w:tc>
          <w:tcPr>
            <w:tcW w:w="15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6"/>
              </w:rPr>
              <w:t>Less than 6%</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Less than 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Significantly undercapitalized</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Less than 3%</w:t>
            </w:r>
          </w:p>
        </w:tc>
        <w:tc>
          <w:tcPr>
            <w:tcW w:w="100" w:type="dxa"/>
            <w:vAlign w:val="bottom"/>
          </w:tcPr>
          <w:p>
            <w:pPr>
              <w:spacing w:after="0"/>
              <w:rPr>
                <w:sz w:val="19"/>
                <w:szCs w:val="19"/>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Less than 3%</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Less than 4%</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Less than 6%</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Critically undercapitalized</w:t>
            </w:r>
          </w:p>
        </w:tc>
        <w:tc>
          <w:tcPr>
            <w:tcW w:w="1400" w:type="dxa"/>
            <w:vAlign w:val="bottom"/>
            <w:shd w:val="clear" w:color="auto" w:fill="CCEEFF"/>
          </w:tcPr>
          <w:p>
            <w:pPr>
              <w:spacing w:after="0"/>
              <w:rPr>
                <w:sz w:val="19"/>
                <w:szCs w:val="19"/>
                <w:color w:val="auto"/>
              </w:rPr>
            </w:pPr>
          </w:p>
        </w:tc>
        <w:tc>
          <w:tcPr>
            <w:tcW w:w="320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7"/>
              </w:rPr>
              <w:t>Tangible Equity / Total Assets less than 2%</w:t>
            </w: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t>The following table includes the capital ratios and capital amounts for the Company and the Bank as of the dates presented:</w:t>
      </w:r>
    </w:p>
    <w:p>
      <w:pPr>
        <w:spacing w:after="0" w:line="238"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8"/>
          <w:szCs w:val="18"/>
          <w:b w:val="1"/>
          <w:bCs w:val="1"/>
          <w:color w:val="auto"/>
        </w:rPr>
        <w:t>Minimum Capital</w:t>
      </w:r>
    </w:p>
    <w:p>
      <w:pPr>
        <w:ind w:left="9320"/>
        <w:spacing w:after="0" w:line="213" w:lineRule="auto"/>
        <w:rPr>
          <w:sz w:val="20"/>
          <w:szCs w:val="20"/>
          <w:color w:val="auto"/>
        </w:rPr>
      </w:pPr>
      <w:r>
        <w:rPr>
          <w:rFonts w:ascii="Times New Roman" w:cs="Times New Roman" w:eastAsia="Times New Roman" w:hAnsi="Times New Roman"/>
          <w:sz w:val="18"/>
          <w:szCs w:val="18"/>
          <w:b w:val="1"/>
          <w:bCs w:val="1"/>
          <w:color w:val="auto"/>
        </w:rPr>
        <w:t>Requirement to be</w:t>
      </w:r>
    </w:p>
    <w:tbl>
      <w:tblPr>
        <w:tblLayout w:type="fixed"/>
        <w:tblInd w:w="0" w:type="dxa"/>
        <w:tblCellMar>
          <w:top w:w="0" w:type="dxa"/>
          <w:left w:w="0" w:type="dxa"/>
          <w:bottom w:w="0" w:type="dxa"/>
          <w:right w:w="0" w:type="dxa"/>
        </w:tblCellMar>
      </w:tblPr>
      <w:tr>
        <w:trPr>
          <w:trHeight w:val="157"/>
        </w:trPr>
        <w:tc>
          <w:tcPr>
            <w:tcW w:w="3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20" w:type="dxa"/>
            <w:vAlign w:val="bottom"/>
            <w:gridSpan w:val="4"/>
          </w:tcPr>
          <w:p>
            <w:pPr>
              <w:jc w:val="center"/>
              <w:ind w:right="260"/>
              <w:spacing w:after="0" w:line="157" w:lineRule="exact"/>
              <w:rPr>
                <w:sz w:val="20"/>
                <w:szCs w:val="20"/>
                <w:color w:val="auto"/>
              </w:rPr>
            </w:pPr>
            <w:r>
              <w:rPr>
                <w:rFonts w:ascii="Times New Roman" w:cs="Times New Roman" w:eastAsia="Times New Roman" w:hAnsi="Times New Roman"/>
                <w:sz w:val="18"/>
                <w:szCs w:val="18"/>
                <w:b w:val="1"/>
                <w:bCs w:val="1"/>
                <w:color w:val="auto"/>
                <w:w w:val="96"/>
              </w:rPr>
              <w:t>Minimum Capital</w:t>
            </w:r>
          </w:p>
        </w:tc>
        <w:tc>
          <w:tcPr>
            <w:tcW w:w="180" w:type="dxa"/>
            <w:vAlign w:val="bottom"/>
          </w:tcPr>
          <w:p>
            <w:pPr>
              <w:spacing w:after="0"/>
              <w:rPr>
                <w:sz w:val="13"/>
                <w:szCs w:val="13"/>
                <w:color w:val="auto"/>
              </w:rPr>
            </w:pPr>
          </w:p>
        </w:tc>
        <w:tc>
          <w:tcPr>
            <w:tcW w:w="2220" w:type="dxa"/>
            <w:vAlign w:val="bottom"/>
            <w:gridSpan w:val="3"/>
          </w:tcPr>
          <w:p>
            <w:pPr>
              <w:jc w:val="center"/>
              <w:ind w:right="72"/>
              <w:spacing w:after="0" w:line="157" w:lineRule="exact"/>
              <w:rPr>
                <w:sz w:val="20"/>
                <w:szCs w:val="20"/>
                <w:color w:val="auto"/>
              </w:rPr>
            </w:pPr>
            <w:r>
              <w:rPr>
                <w:rFonts w:ascii="Times New Roman" w:cs="Times New Roman" w:eastAsia="Times New Roman" w:hAnsi="Times New Roman"/>
                <w:sz w:val="18"/>
                <w:szCs w:val="18"/>
                <w:b w:val="1"/>
                <w:bCs w:val="1"/>
                <w:color w:val="auto"/>
                <w:w w:val="97"/>
              </w:rPr>
              <w:t>Adequately</w:t>
            </w: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3"/>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20" w:type="dxa"/>
            <w:vAlign w:val="bottom"/>
            <w:gridSpan w:val="4"/>
          </w:tcPr>
          <w:p>
            <w:pPr>
              <w:jc w:val="center"/>
              <w:ind w:right="260"/>
              <w:spacing w:after="0" w:line="171" w:lineRule="exact"/>
              <w:rPr>
                <w:sz w:val="20"/>
                <w:szCs w:val="20"/>
                <w:color w:val="auto"/>
              </w:rPr>
            </w:pPr>
            <w:r>
              <w:rPr>
                <w:rFonts w:ascii="Times New Roman" w:cs="Times New Roman" w:eastAsia="Times New Roman" w:hAnsi="Times New Roman"/>
                <w:sz w:val="18"/>
                <w:szCs w:val="18"/>
                <w:b w:val="1"/>
                <w:bCs w:val="1"/>
                <w:color w:val="auto"/>
                <w:w w:val="96"/>
              </w:rPr>
              <w:t>Requirement to be</w:t>
            </w:r>
          </w:p>
        </w:tc>
        <w:tc>
          <w:tcPr>
            <w:tcW w:w="180" w:type="dxa"/>
            <w:vAlign w:val="bottom"/>
          </w:tcPr>
          <w:p>
            <w:pPr>
              <w:spacing w:after="0"/>
              <w:rPr>
                <w:sz w:val="14"/>
                <w:szCs w:val="14"/>
                <w:color w:val="auto"/>
              </w:rPr>
            </w:pPr>
          </w:p>
        </w:tc>
        <w:tc>
          <w:tcPr>
            <w:tcW w:w="2220" w:type="dxa"/>
            <w:vAlign w:val="bottom"/>
            <w:gridSpan w:val="3"/>
          </w:tcPr>
          <w:p>
            <w:pPr>
              <w:jc w:val="center"/>
              <w:ind w:right="72"/>
              <w:spacing w:after="0" w:line="171" w:lineRule="exact"/>
              <w:rPr>
                <w:sz w:val="20"/>
                <w:szCs w:val="20"/>
                <w:color w:val="auto"/>
              </w:rPr>
            </w:pPr>
            <w:r>
              <w:rPr>
                <w:rFonts w:ascii="Times New Roman" w:cs="Times New Roman" w:eastAsia="Times New Roman" w:hAnsi="Times New Roman"/>
                <w:sz w:val="18"/>
                <w:szCs w:val="18"/>
                <w:b w:val="1"/>
                <w:bCs w:val="1"/>
                <w:color w:val="auto"/>
                <w:w w:val="97"/>
              </w:rPr>
              <w:t>Capitalized (including the</w:t>
            </w:r>
          </w:p>
        </w:tc>
        <w:tc>
          <w:tcPr>
            <w:tcW w:w="0" w:type="dxa"/>
            <w:vAlign w:val="bottom"/>
          </w:tcPr>
          <w:p>
            <w:pPr>
              <w:spacing w:after="0"/>
              <w:rPr>
                <w:sz w:val="1"/>
                <w:szCs w:val="1"/>
                <w:color w:val="auto"/>
              </w:rPr>
            </w:pPr>
          </w:p>
        </w:tc>
      </w:tr>
      <w:tr>
        <w:trPr>
          <w:trHeight w:val="237"/>
        </w:trPr>
        <w:tc>
          <w:tcPr>
            <w:tcW w:w="3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3"/>
            <w:vMerge w:val="continue"/>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2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Well Capitalized</w:t>
            </w:r>
          </w:p>
        </w:tc>
        <w:tc>
          <w:tcPr>
            <w:tcW w:w="24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Capital Conservation Buffer)</w:t>
            </w:r>
          </w:p>
        </w:tc>
        <w:tc>
          <w:tcPr>
            <w:tcW w:w="0" w:type="dxa"/>
            <w:vAlign w:val="bottom"/>
          </w:tcPr>
          <w:p>
            <w:pPr>
              <w:spacing w:after="0"/>
              <w:rPr>
                <w:sz w:val="1"/>
                <w:szCs w:val="1"/>
                <w:color w:val="auto"/>
              </w:rPr>
            </w:pPr>
          </w:p>
        </w:tc>
      </w:tr>
      <w:tr>
        <w:trPr>
          <w:trHeight w:val="217"/>
        </w:trPr>
        <w:tc>
          <w:tcPr>
            <w:tcW w:w="38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40" w:type="dxa"/>
            <w:vAlign w:val="bottom"/>
            <w:tcBorders>
              <w:top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Ratio</w:t>
            </w:r>
          </w:p>
        </w:tc>
        <w:tc>
          <w:tcPr>
            <w:tcW w:w="0" w:type="dxa"/>
            <w:vAlign w:val="bottom"/>
          </w:tcPr>
          <w:p>
            <w:pPr>
              <w:spacing w:after="0"/>
              <w:rPr>
                <w:sz w:val="1"/>
                <w:szCs w:val="1"/>
                <w:color w:val="auto"/>
              </w:rPr>
            </w:pPr>
          </w:p>
        </w:tc>
      </w:tr>
      <w:tr>
        <w:trPr>
          <w:trHeight w:val="204"/>
        </w:trPr>
        <w:tc>
          <w:tcPr>
            <w:tcW w:w="3840" w:type="dxa"/>
            <w:vAlign w:val="bottom"/>
            <w:tcBorders>
              <w:top w:val="single" w:sz="8" w:color="CCEEFF"/>
            </w:tcBorders>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December 31, 2025</w:t>
            </w: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Renasant Corporation:</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Tier 1 leverage ratio</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2,424,528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1,261,164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1,008,931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0" w:type="dxa"/>
            <w:vAlign w:val="bottom"/>
          </w:tcPr>
          <w:p>
            <w:pPr>
              <w:spacing w:after="0"/>
              <w:rPr>
                <w:sz w:val="1"/>
                <w:szCs w:val="1"/>
                <w:color w:val="auto"/>
              </w:rPr>
            </w:pPr>
          </w:p>
        </w:tc>
      </w:tr>
      <w:tr>
        <w:trPr>
          <w:trHeight w:val="224"/>
        </w:trPr>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equity tier 1 capital ratio</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2,424,528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1,402,647</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1,510,543</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0" w:type="dxa"/>
            <w:vAlign w:val="bottom"/>
          </w:tcPr>
          <w:p>
            <w:pPr>
              <w:spacing w:after="0"/>
              <w:rPr>
                <w:sz w:val="1"/>
                <w:szCs w:val="1"/>
                <w:color w:val="auto"/>
              </w:rPr>
            </w:pPr>
          </w:p>
        </w:tc>
      </w:tr>
      <w:tr>
        <w:trPr>
          <w:trHeight w:val="224"/>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Tier 1 risk-based capital ratio</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2,424,528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1,726,335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1,834,231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0" w:type="dxa"/>
            <w:vAlign w:val="bottom"/>
          </w:tcPr>
          <w:p>
            <w:pPr>
              <w:spacing w:after="0"/>
              <w:rPr>
                <w:sz w:val="1"/>
                <w:szCs w:val="1"/>
                <w:color w:val="auto"/>
              </w:rPr>
            </w:pPr>
          </w:p>
        </w:tc>
      </w:tr>
      <w:tr>
        <w:trPr>
          <w:trHeight w:val="224"/>
        </w:trPr>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risk-based capital ratio</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3,190,074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1,261,164</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2,265,815</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10.50 %</w:t>
            </w:r>
          </w:p>
        </w:tc>
        <w:tc>
          <w:tcPr>
            <w:tcW w:w="0" w:type="dxa"/>
            <w:vAlign w:val="bottom"/>
          </w:tcPr>
          <w:p>
            <w:pPr>
              <w:spacing w:after="0"/>
              <w:rPr>
                <w:sz w:val="1"/>
                <w:szCs w:val="1"/>
                <w:color w:val="auto"/>
              </w:rPr>
            </w:pPr>
          </w:p>
        </w:tc>
      </w:tr>
      <w:tr>
        <w:trPr>
          <w:trHeight w:val="224"/>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Renasant Bank:</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Tier 1 leverage ratio</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2,590,284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1,260,407</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1,008,325</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0" w:type="dxa"/>
            <w:vAlign w:val="bottom"/>
          </w:tcPr>
          <w:p>
            <w:pPr>
              <w:spacing w:after="0"/>
              <w:rPr>
                <w:sz w:val="1"/>
                <w:szCs w:val="1"/>
                <w:color w:val="auto"/>
              </w:rPr>
            </w:pPr>
          </w:p>
        </w:tc>
      </w:tr>
      <w:tr>
        <w:trPr>
          <w:trHeight w:val="224"/>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equity tier 1 capital ratio</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2,590,284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1,403,433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1,511,389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0" w:type="dxa"/>
            <w:vAlign w:val="bottom"/>
          </w:tcPr>
          <w:p>
            <w:pPr>
              <w:spacing w:after="0"/>
              <w:rPr>
                <w:sz w:val="1"/>
                <w:szCs w:val="1"/>
                <w:color w:val="auto"/>
              </w:rPr>
            </w:pPr>
          </w:p>
        </w:tc>
      </w:tr>
      <w:tr>
        <w:trPr>
          <w:trHeight w:val="224"/>
        </w:trPr>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Tier 1 risk-based capital ratio</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2,590,284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1,727,302</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1,835,258</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0" w:type="dxa"/>
            <w:vAlign w:val="bottom"/>
          </w:tcPr>
          <w:p>
            <w:pPr>
              <w:spacing w:after="0"/>
              <w:rPr>
                <w:sz w:val="1"/>
                <w:szCs w:val="1"/>
                <w:color w:val="auto"/>
              </w:rPr>
            </w:pPr>
          </w:p>
        </w:tc>
      </w:tr>
      <w:tr>
        <w:trPr>
          <w:trHeight w:val="224"/>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risk-based capital ratio</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2,860,621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2,159,127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2,267,083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10.50 %</w:t>
            </w:r>
          </w:p>
        </w:tc>
        <w:tc>
          <w:tcPr>
            <w:tcW w:w="0" w:type="dxa"/>
            <w:vAlign w:val="bottom"/>
          </w:tcPr>
          <w:p>
            <w:pPr>
              <w:spacing w:after="0"/>
              <w:rPr>
                <w:sz w:val="1"/>
                <w:szCs w:val="1"/>
                <w:color w:val="auto"/>
              </w:rPr>
            </w:pPr>
          </w:p>
        </w:tc>
      </w:tr>
      <w:tr>
        <w:trPr>
          <w:trHeight w:val="224"/>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Renasant Corporation:</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Tier 1 leverage ratio</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1,935,522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853,556</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682,845</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0" w:type="dxa"/>
            <w:vAlign w:val="bottom"/>
          </w:tcPr>
          <w:p>
            <w:pPr>
              <w:spacing w:after="0"/>
              <w:rPr>
                <w:sz w:val="1"/>
                <w:szCs w:val="1"/>
                <w:color w:val="auto"/>
              </w:rPr>
            </w:pPr>
          </w:p>
        </w:tc>
      </w:tr>
      <w:tr>
        <w:trPr>
          <w:trHeight w:val="224"/>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equity tier 1 capital ratio</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1,825,197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932,162</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1,003,867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0" w:type="dxa"/>
            <w:vAlign w:val="bottom"/>
          </w:tcPr>
          <w:p>
            <w:pPr>
              <w:spacing w:after="0"/>
              <w:rPr>
                <w:sz w:val="1"/>
                <w:szCs w:val="1"/>
                <w:color w:val="auto"/>
              </w:rPr>
            </w:pPr>
          </w:p>
        </w:tc>
      </w:tr>
      <w:tr>
        <w:trPr>
          <w:trHeight w:val="224"/>
        </w:trPr>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Tier 1 risk-based capital ratio</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1,935,522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1,147,276</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1,218,981</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0" w:type="dxa"/>
            <w:vAlign w:val="bottom"/>
          </w:tcPr>
          <w:p>
            <w:pPr>
              <w:spacing w:after="0"/>
              <w:rPr>
                <w:sz w:val="1"/>
                <w:szCs w:val="1"/>
                <w:color w:val="auto"/>
              </w:rPr>
            </w:pPr>
          </w:p>
        </w:tc>
      </w:tr>
      <w:tr>
        <w:trPr>
          <w:trHeight w:val="224"/>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risk-based capital ratio</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2,449,129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1,434,095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1,505,800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10.50 %</w:t>
            </w:r>
          </w:p>
        </w:tc>
        <w:tc>
          <w:tcPr>
            <w:tcW w:w="0" w:type="dxa"/>
            <w:vAlign w:val="bottom"/>
          </w:tcPr>
          <w:p>
            <w:pPr>
              <w:spacing w:after="0"/>
              <w:rPr>
                <w:sz w:val="1"/>
                <w:szCs w:val="1"/>
                <w:color w:val="auto"/>
              </w:rPr>
            </w:pPr>
          </w:p>
        </w:tc>
      </w:tr>
      <w:tr>
        <w:trPr>
          <w:trHeight w:val="224"/>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Renasant Bank:</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Tier 1 leverage ratio</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1,843,123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852,933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682,346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0" w:type="dxa"/>
            <w:vAlign w:val="bottom"/>
          </w:tcPr>
          <w:p>
            <w:pPr>
              <w:spacing w:after="0"/>
              <w:rPr>
                <w:sz w:val="1"/>
                <w:szCs w:val="1"/>
                <w:color w:val="auto"/>
              </w:rPr>
            </w:pPr>
          </w:p>
        </w:tc>
      </w:tr>
      <w:tr>
        <w:trPr>
          <w:trHeight w:val="224"/>
        </w:trPr>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equity tier 1 capital ratio</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1,843,123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932,552</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1,004,287</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0" w:type="dxa"/>
            <w:vAlign w:val="bottom"/>
          </w:tcPr>
          <w:p>
            <w:pPr>
              <w:spacing w:after="0"/>
              <w:rPr>
                <w:sz w:val="1"/>
                <w:szCs w:val="1"/>
                <w:color w:val="auto"/>
              </w:rPr>
            </w:pPr>
          </w:p>
        </w:tc>
      </w:tr>
      <w:tr>
        <w:trPr>
          <w:trHeight w:val="224"/>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Tier 1 risk-based capital ratio</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1,843,123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1,147,756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1,219,491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0" w:type="dxa"/>
            <w:vAlign w:val="bottom"/>
          </w:tcPr>
          <w:p>
            <w:pPr>
              <w:spacing w:after="0"/>
              <w:rPr>
                <w:sz w:val="1"/>
                <w:szCs w:val="1"/>
                <w:color w:val="auto"/>
              </w:rPr>
            </w:pPr>
          </w:p>
        </w:tc>
      </w:tr>
      <w:tr>
        <w:trPr>
          <w:trHeight w:val="228"/>
        </w:trPr>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risk-based capital ratio</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2,022,737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1,434,695</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1,506,430</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10.50 %</w:t>
            </w:r>
          </w:p>
        </w:tc>
        <w:tc>
          <w:tcPr>
            <w:tcW w:w="0" w:type="dxa"/>
            <w:vAlign w:val="bottom"/>
          </w:tcPr>
          <w:p>
            <w:pPr>
              <w:spacing w:after="0"/>
              <w:rPr>
                <w:sz w:val="1"/>
                <w:szCs w:val="1"/>
                <w:color w:val="auto"/>
              </w:rPr>
            </w:pPr>
          </w:p>
        </w:tc>
      </w:tr>
    </w:tbl>
    <w:p>
      <w:pPr>
        <w:spacing w:after="0" w:line="2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previously disclosed, the Company adopted CECL as of January 1, 2020. The Company has elected to take advantage of transitional relief offered by the Federal Reserve and FDIC to delay for two years the estimated impact of CECL on regulatory capital, followed by a three-year transitional period to phase out the capital benefit provided by the two-year delay. The full impact of CECL is reflected in our capital ratios as of December 31,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a detailed discussion of the capital adequacy guidelines applicable to the Company and the Bank, please refer to the information under the heading “Capital</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Adequacy Guidelines” in the “Supervision and Regulation-Supervision and Regulation of Renasant Corporation” section and the “Supervision and Regulation-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Supervision and Regulation of Renasant Bank” section in Item 1, Business, in this report.</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6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In addition to results presented in accordance with generally accepted accounting principles in the United States of America (“GAAP”), this report contains non-GAAP financial measures, namely, adjusted diluted earnings per share, adjusted net interest margin, the ratio of tangible equity to tangible assets, adjusted return on average assets, return on average tangible assets and on average tangible common equity, adjusted return on average tangible common equity and adjusted efficiency ratio. These non-GAAP financial measures adjust GAAP financial measures to exclude intangible assets, including related amortization, and/or certain gains or charges (such as, for 2025, merger and conversion related expenses), with respect to which the Company is unable to accurately predict when these charges will be incurred or, when incurred, the amount thereof. Management uses these non-GAAP financial measures when evaluating capital utilization and adequacy. In addition, the Company believes that these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63" w:name="page64"/>
    <w:bookmarkEnd w:id="63"/>
    <w:p>
      <w:pPr>
        <w:jc w:val="both"/>
        <w:spacing w:after="0" w:line="249" w:lineRule="auto"/>
        <w:rPr>
          <w:sz w:val="20"/>
          <w:szCs w:val="20"/>
          <w:color w:val="auto"/>
        </w:rPr>
      </w:pPr>
      <w:r>
        <w:rPr>
          <w:rFonts w:ascii="Times New Roman" w:cs="Times New Roman" w:eastAsia="Times New Roman" w:hAnsi="Times New Roman"/>
          <w:sz w:val="18"/>
          <w:szCs w:val="18"/>
          <w:color w:val="auto"/>
        </w:rPr>
        <w:t>non-GAAP financial measures facilitate the making of period-to-period comparisons and are meaningful indicators of its operating performance, particularly because these measures are widely used by industry analysts for companies with merger and acquisition activities. Also, because intangible assets such as goodwill and the core deposit intangible can vary extensively from company to company and, as to intangible assets, are excluded from the calculation of a financial institution’s regulatory capital, the Company believes that the presentation of the non-GAAP financial measures allows readers to more easily compare the Company’s results to information provided in other regulatory reports and the results of other companies. The reconciliations from GAAP to non-GAAP for these financial measures are below.</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 except per share data)</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185"/>
        </w:trPr>
        <w:tc>
          <w:tcPr>
            <w:tcW w:w="6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217"/>
        </w:trPr>
        <w:tc>
          <w:tcPr>
            <w:tcW w:w="6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51"/>
        </w:trPr>
        <w:tc>
          <w:tcPr>
            <w:tcW w:w="6220" w:type="dxa"/>
            <w:vAlign w:val="bottom"/>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b w:val="1"/>
                <w:bCs w:val="1"/>
                <w:color w:val="auto"/>
              </w:rPr>
              <w:t>Tangible Net Income, Adjusted Net Income and</w:t>
            </w:r>
          </w:p>
        </w:tc>
        <w:tc>
          <w:tcPr>
            <w:tcW w:w="3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237"/>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Tangible Net Income</w:t>
            </w: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24"/>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(GAAP) (A)</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181,272</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195,457</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144,678</w:t>
            </w:r>
          </w:p>
        </w:tc>
      </w:tr>
      <w:tr>
        <w:trPr>
          <w:trHeight w:val="224"/>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w:t>
            </w:r>
          </w:p>
        </w:tc>
      </w:tr>
      <w:tr>
        <w:trPr>
          <w:trHeight w:val="224"/>
        </w:trPr>
        <w:tc>
          <w:tcPr>
            <w:tcW w:w="6220" w:type="dxa"/>
            <w:vAlign w:val="bottom"/>
            <w:tcBorders>
              <w:bottom w:val="single" w:sz="8" w:color="CCEEFF"/>
            </w:tcBorders>
          </w:tcPr>
          <w:p>
            <w:pPr>
              <w:ind w:left="20"/>
              <w:spacing w:after="0" w:line="224" w:lineRule="exact"/>
              <w:rPr>
                <w:sz w:val="20"/>
                <w:szCs w:val="20"/>
                <w:color w:val="auto"/>
              </w:rPr>
            </w:pPr>
            <w:r>
              <w:rPr>
                <w:rFonts w:ascii="Times New Roman" w:cs="Times New Roman" w:eastAsia="Times New Roman" w:hAnsi="Times New Roman"/>
                <w:sz w:val="18"/>
                <w:szCs w:val="18"/>
                <w:color w:val="auto"/>
              </w:rPr>
              <w:t>Tax effect of adjustments noted above</w:t>
            </w:r>
            <w:r>
              <w:rPr>
                <w:rFonts w:ascii="Times New Roman" w:cs="Times New Roman" w:eastAsia="Times New Roman" w:hAnsi="Times New Roman"/>
                <w:sz w:val="22"/>
                <w:szCs w:val="22"/>
                <w:color w:val="auto"/>
                <w:vertAlign w:val="superscript"/>
              </w:rPr>
              <w:t>(1)</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w:t>
            </w:r>
          </w:p>
        </w:tc>
      </w:tr>
      <w:tr>
        <w:trPr>
          <w:trHeight w:val="217"/>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Tangible net income (non-GAAP) (B)</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201,626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198,975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149,046</w:t>
            </w:r>
          </w:p>
        </w:tc>
      </w:tr>
      <w:tr>
        <w:trPr>
          <w:trHeight w:val="243"/>
        </w:trPr>
        <w:tc>
          <w:tcPr>
            <w:tcW w:w="6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24"/>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(GAAP)</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144,678</w:t>
            </w:r>
          </w:p>
        </w:tc>
      </w:tr>
      <w:tr>
        <w:trPr>
          <w:trHeight w:val="224"/>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Merger and conversion related expense</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Day 1 acquisition provision for loan losses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Day 1 acquisition provision for unfunded commitments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r>
      <w:tr>
        <w:trPr>
          <w:trHeight w:val="224"/>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sales of MSR</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24"/>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insurance agency</w:t>
            </w: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on sales of securities (including impairments)</w:t>
            </w:r>
          </w:p>
        </w:tc>
        <w:tc>
          <w:tcPr>
            <w:tcW w:w="36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41,790</w:t>
            </w:r>
          </w:p>
        </w:tc>
      </w:tr>
      <w:tr>
        <w:trPr>
          <w:trHeight w:val="224"/>
        </w:trPr>
        <w:tc>
          <w:tcPr>
            <w:tcW w:w="622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Tax effect of adjustments noted above</w:t>
            </w:r>
            <w:r>
              <w:rPr>
                <w:rFonts w:ascii="Times New Roman" w:cs="Times New Roman" w:eastAsia="Times New Roman" w:hAnsi="Times New Roman"/>
                <w:sz w:val="22"/>
                <w:szCs w:val="22"/>
                <w:color w:val="auto"/>
                <w:vertAlign w:val="superscript"/>
              </w:rPr>
              <w:t>(1)</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(7,644)</w:t>
            </w:r>
          </w:p>
        </w:tc>
      </w:tr>
      <w:tr>
        <w:trPr>
          <w:trHeight w:val="217"/>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 (non-GAAP) (C)</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267,816</w:t>
            </w:r>
          </w:p>
        </w:tc>
        <w:tc>
          <w:tcPr>
            <w:tcW w:w="100" w:type="dxa"/>
            <w:vAlign w:val="bottom"/>
          </w:tcPr>
          <w:p>
            <w:pPr>
              <w:spacing w:after="0"/>
              <w:rPr>
                <w:sz w:val="18"/>
                <w:szCs w:val="18"/>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165,066</w:t>
            </w:r>
          </w:p>
        </w:tc>
        <w:tc>
          <w:tcPr>
            <w:tcW w:w="100" w:type="dxa"/>
            <w:vAlign w:val="bottom"/>
          </w:tcPr>
          <w:p>
            <w:pPr>
              <w:spacing w:after="0"/>
              <w:rPr>
                <w:sz w:val="18"/>
                <w:szCs w:val="18"/>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177,657</w:t>
            </w:r>
          </w:p>
        </w:tc>
      </w:tr>
      <w:tr>
        <w:trPr>
          <w:trHeight w:val="224"/>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w:t>
            </w:r>
          </w:p>
        </w:tc>
      </w:tr>
      <w:tr>
        <w:trPr>
          <w:trHeight w:val="224"/>
        </w:trPr>
        <w:tc>
          <w:tcPr>
            <w:tcW w:w="6220" w:type="dxa"/>
            <w:vAlign w:val="bottom"/>
            <w:tcBorders>
              <w:bottom w:val="single" w:sz="8" w:color="CCEEFF"/>
            </w:tcBorders>
          </w:tcPr>
          <w:p>
            <w:pPr>
              <w:ind w:left="20"/>
              <w:spacing w:after="0" w:line="224" w:lineRule="exact"/>
              <w:rPr>
                <w:sz w:val="20"/>
                <w:szCs w:val="20"/>
                <w:color w:val="auto"/>
              </w:rPr>
            </w:pPr>
            <w:r>
              <w:rPr>
                <w:rFonts w:ascii="Times New Roman" w:cs="Times New Roman" w:eastAsia="Times New Roman" w:hAnsi="Times New Roman"/>
                <w:sz w:val="18"/>
                <w:szCs w:val="18"/>
                <w:color w:val="auto"/>
              </w:rPr>
              <w:t>Tax effect of adjustments noted above</w:t>
            </w:r>
            <w:r>
              <w:rPr>
                <w:rFonts w:ascii="Times New Roman" w:cs="Times New Roman" w:eastAsia="Times New Roman" w:hAnsi="Times New Roman"/>
                <w:sz w:val="22"/>
                <w:szCs w:val="22"/>
                <w:color w:val="auto"/>
                <w:vertAlign w:val="superscript"/>
              </w:rPr>
              <w:t>(1)</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w:t>
            </w:r>
          </w:p>
        </w:tc>
      </w:tr>
      <w:tr>
        <w:trPr>
          <w:trHeight w:val="217"/>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tangible net income (non-GAAP) (D)</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288,170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168,584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182,025</w:t>
            </w:r>
          </w:p>
        </w:tc>
      </w:tr>
      <w:tr>
        <w:trPr>
          <w:trHeight w:val="263"/>
        </w:trPr>
        <w:tc>
          <w:tcPr>
            <w:tcW w:w="6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03"/>
        </w:trPr>
        <w:tc>
          <w:tcPr>
            <w:tcW w:w="622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Average Tangible Tangible Shareholders’ Equity,</w:t>
            </w: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37"/>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Average Tangible Assets, Tangible Shareholders’ Equity and Total Tangible Assets</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5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shareholders’ equity (GAAP) (E)</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3,524,555</w:t>
            </w:r>
          </w:p>
        </w:tc>
        <w:tc>
          <w:tcPr>
            <w:tcW w:w="100" w:type="dxa"/>
            <w:vAlign w:val="bottom"/>
          </w:tcPr>
          <w:p>
            <w:pPr>
              <w:spacing w:after="0"/>
              <w:rPr>
                <w:sz w:val="21"/>
                <w:szCs w:val="21"/>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2,466,384</w:t>
            </w:r>
          </w:p>
        </w:tc>
        <w:tc>
          <w:tcPr>
            <w:tcW w:w="100" w:type="dxa"/>
            <w:vAlign w:val="bottom"/>
          </w:tcPr>
          <w:p>
            <w:pPr>
              <w:spacing w:after="0"/>
              <w:rPr>
                <w:sz w:val="21"/>
                <w:szCs w:val="21"/>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2,224,506</w:t>
            </w:r>
          </w:p>
        </w:tc>
      </w:tr>
      <w:tr>
        <w:trPr>
          <w:trHeight w:val="224"/>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intangible assets</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(1,435,443)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(1,006,665)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(1,012,239)</w:t>
            </w:r>
          </w:p>
        </w:tc>
      </w:tr>
      <w:tr>
        <w:trPr>
          <w:trHeight w:val="23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tangible shareholders’ equity (non-GAAP) (F)</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2,089,112</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1,459,719</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1,212,267</w:t>
            </w:r>
          </w:p>
        </w:tc>
      </w:tr>
      <w:tr>
        <w:trPr>
          <w:trHeight w:val="263"/>
        </w:trPr>
        <w:tc>
          <w:tcPr>
            <w:tcW w:w="62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24"/>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assets (GAAP) (G)</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24,360,330</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17,552,695</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17,231,883</w:t>
            </w:r>
          </w:p>
        </w:tc>
      </w:tr>
      <w:tr>
        <w:trPr>
          <w:trHeight w:val="224"/>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intangible assets</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(1,435,443)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(1,006,665)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(1,012,239)</w:t>
            </w:r>
          </w:p>
        </w:tc>
      </w:tr>
      <w:tr>
        <w:trPr>
          <w:trHeight w:val="217"/>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tangible assets (non-GAAP) (H)</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22,924,887</w:t>
            </w:r>
          </w:p>
        </w:tc>
        <w:tc>
          <w:tcPr>
            <w:tcW w:w="100" w:type="dxa"/>
            <w:vAlign w:val="bottom"/>
          </w:tcPr>
          <w:p>
            <w:pPr>
              <w:spacing w:after="0"/>
              <w:rPr>
                <w:sz w:val="18"/>
                <w:szCs w:val="18"/>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16,546,030</w:t>
            </w:r>
          </w:p>
        </w:tc>
        <w:tc>
          <w:tcPr>
            <w:tcW w:w="100" w:type="dxa"/>
            <w:vAlign w:val="bottom"/>
          </w:tcPr>
          <w:p>
            <w:pPr>
              <w:spacing w:after="0"/>
              <w:rPr>
                <w:sz w:val="18"/>
                <w:szCs w:val="18"/>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16,219,644</w:t>
            </w:r>
          </w:p>
        </w:tc>
      </w:tr>
      <w:tr>
        <w:trPr>
          <w:trHeight w:val="263"/>
        </w:trPr>
        <w:tc>
          <w:tcPr>
            <w:tcW w:w="62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5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 (GAAP) (I)</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3,884,905</w:t>
            </w:r>
          </w:p>
        </w:tc>
        <w:tc>
          <w:tcPr>
            <w:tcW w:w="100" w:type="dxa"/>
            <w:vAlign w:val="bottom"/>
          </w:tcPr>
          <w:p>
            <w:pPr>
              <w:spacing w:after="0"/>
              <w:rPr>
                <w:sz w:val="21"/>
                <w:szCs w:val="21"/>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2,678,318</w:t>
            </w:r>
          </w:p>
        </w:tc>
        <w:tc>
          <w:tcPr>
            <w:tcW w:w="100" w:type="dxa"/>
            <w:vAlign w:val="bottom"/>
          </w:tcPr>
          <w:p>
            <w:pPr>
              <w:spacing w:after="0"/>
              <w:rPr>
                <w:sz w:val="21"/>
                <w:szCs w:val="21"/>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2,297,383</w:t>
            </w:r>
          </w:p>
        </w:tc>
      </w:tr>
      <w:tr>
        <w:trPr>
          <w:trHeight w:val="224"/>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(1,552,452)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(1,003,003)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(1,010,460)</w:t>
            </w:r>
          </w:p>
        </w:tc>
      </w:tr>
      <w:tr>
        <w:trPr>
          <w:trHeight w:val="23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Tangible shareholders’ equity (non-GAAP) (J)</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2,332,453</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1,675,315</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1,286,923</w:t>
            </w:r>
          </w:p>
        </w:tc>
      </w:tr>
      <w:tr>
        <w:trPr>
          <w:trHeight w:val="263"/>
        </w:trPr>
        <w:tc>
          <w:tcPr>
            <w:tcW w:w="62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24"/>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(GAAP) (K)</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26,751,426</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18,034,868</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17,360,535</w:t>
            </w:r>
          </w:p>
        </w:tc>
      </w:tr>
      <w:tr>
        <w:trPr>
          <w:trHeight w:val="224"/>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(1,552,452)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(1,003,003)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(1,010,460)</w:t>
            </w:r>
          </w:p>
        </w:tc>
      </w:tr>
      <w:tr>
        <w:trPr>
          <w:trHeight w:val="221"/>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tangible assets (non-GAAP) (L)</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25,198,974</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17,031,865</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16,350,075</w:t>
            </w:r>
          </w:p>
        </w:tc>
      </w:tr>
    </w:tbl>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7"/>
        </w:trPr>
        <w:tc>
          <w:tcPr>
            <w:tcW w:w="59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63"/>
        </w:trPr>
        <w:tc>
          <w:tcPr>
            <w:tcW w:w="59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24"/>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Diluted Earnings Per Share</w:t>
            </w: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4"/>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diluted shares outstanding (M)</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87,514,783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59,748,790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56,448,163</w:t>
            </w:r>
          </w:p>
        </w:tc>
      </w:tr>
      <w:tr>
        <w:trPr>
          <w:trHeight w:val="224"/>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 (GAAP): A/M</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tcPr>
          <w:p>
            <w:pPr>
              <w:spacing w:after="0"/>
              <w:rPr>
                <w:sz w:val="19"/>
                <w:szCs w:val="19"/>
                <w:color w:val="auto"/>
              </w:rPr>
            </w:pPr>
          </w:p>
        </w:tc>
        <w:tc>
          <w:tcPr>
            <w:tcW w:w="4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2.56</w:t>
            </w:r>
          </w:p>
        </w:tc>
      </w:tr>
      <w:tr>
        <w:trPr>
          <w:trHeight w:val="224"/>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diluted earnings per share (non-GAAP): C/M</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3.15</w:t>
            </w:r>
          </w:p>
        </w:tc>
      </w:tr>
      <w:tr>
        <w:trPr>
          <w:trHeight w:val="263"/>
        </w:trPr>
        <w:tc>
          <w:tcPr>
            <w:tcW w:w="5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24"/>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Return on Average Assets and Return on Average Tangible Assets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4"/>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Return on average assets (GAAP): A/G</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0.84 %</w:t>
            </w:r>
          </w:p>
        </w:tc>
      </w:tr>
      <w:tr>
        <w:trPr>
          <w:trHeight w:val="224"/>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return on average assets (non-GAAP): C/G</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1.03</w:t>
            </w:r>
          </w:p>
        </w:tc>
      </w:tr>
      <w:tr>
        <w:trPr>
          <w:trHeight w:val="224"/>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Return on average tangible assets (non-GAAP): B/H</w:t>
            </w:r>
          </w:p>
        </w:tc>
        <w:tc>
          <w:tcPr>
            <w:tcW w:w="380" w:type="dxa"/>
            <w:vAlign w:val="bottom"/>
          </w:tcPr>
          <w:p>
            <w:pPr>
              <w:spacing w:after="0"/>
              <w:rPr>
                <w:sz w:val="19"/>
                <w:szCs w:val="19"/>
                <w:color w:val="auto"/>
              </w:rPr>
            </w:pP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0.88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0.92</w:t>
            </w:r>
          </w:p>
        </w:tc>
      </w:tr>
      <w:tr>
        <w:trPr>
          <w:trHeight w:val="263"/>
        </w:trPr>
        <w:tc>
          <w:tcPr>
            <w:tcW w:w="59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24"/>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Return on Average Tangible Common Equity</w:t>
            </w: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4"/>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Return on average equity (GAAP): A/E</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5.14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6.50</w:t>
            </w:r>
          </w:p>
        </w:tc>
      </w:tr>
      <w:tr>
        <w:trPr>
          <w:trHeight w:val="224"/>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Return on average tangible equity (non-GAAP): B/F</w:t>
            </w:r>
          </w:p>
        </w:tc>
        <w:tc>
          <w:tcPr>
            <w:tcW w:w="380" w:type="dxa"/>
            <w:vAlign w:val="bottom"/>
          </w:tcPr>
          <w:p>
            <w:pPr>
              <w:spacing w:after="0"/>
              <w:rPr>
                <w:sz w:val="19"/>
                <w:szCs w:val="19"/>
                <w:color w:val="auto"/>
              </w:rPr>
            </w:pP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9.65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12.29</w:t>
            </w:r>
          </w:p>
        </w:tc>
      </w:tr>
      <w:tr>
        <w:trPr>
          <w:trHeight w:val="224"/>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return on average tangible equity (non-GAAP): D/F</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13.79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11.55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15.02</w:t>
            </w:r>
          </w:p>
        </w:tc>
      </w:tr>
      <w:tr>
        <w:trPr>
          <w:trHeight w:val="263"/>
        </w:trPr>
        <w:tc>
          <w:tcPr>
            <w:tcW w:w="5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24"/>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Tangible Shareholders’ Equity to Tangible Assets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4"/>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 to assets (GAAP): I/K</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13.23 %</w:t>
            </w:r>
          </w:p>
        </w:tc>
      </w:tr>
      <w:tr>
        <w:trPr>
          <w:trHeight w:val="224"/>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Tangible shareholders’ equity to tangible assets (non-GAAP): J/L</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7.87 %</w:t>
            </w:r>
          </w:p>
        </w:tc>
      </w:tr>
      <w:tr>
        <w:trPr>
          <w:trHeight w:val="263"/>
        </w:trPr>
        <w:tc>
          <w:tcPr>
            <w:tcW w:w="5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24"/>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Efficiency Ratio</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4"/>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interest income (FTE) (GAAP) (N)</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820,641</w:t>
            </w:r>
          </w:p>
        </w:tc>
        <w:tc>
          <w:tcPr>
            <w:tcW w:w="80" w:type="dxa"/>
            <w:vAlign w:val="bottom"/>
          </w:tcPr>
          <w:p>
            <w:pPr>
              <w:spacing w:after="0"/>
              <w:rPr>
                <w:sz w:val="19"/>
                <w:szCs w:val="19"/>
                <w:color w:val="auto"/>
              </w:rPr>
            </w:pPr>
          </w:p>
        </w:tc>
        <w:tc>
          <w:tcPr>
            <w:tcW w:w="4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522,526</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530,340</w:t>
            </w:r>
          </w:p>
        </w:tc>
      </w:tr>
      <w:tr>
        <w:trPr>
          <w:trHeight w:val="263"/>
        </w:trPr>
        <w:tc>
          <w:tcPr>
            <w:tcW w:w="59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24"/>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noninterest income (GAAP) (O)</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181,880</w:t>
            </w:r>
          </w:p>
        </w:tc>
        <w:tc>
          <w:tcPr>
            <w:tcW w:w="80" w:type="dxa"/>
            <w:vAlign w:val="bottom"/>
          </w:tcPr>
          <w:p>
            <w:pPr>
              <w:spacing w:after="0"/>
              <w:rPr>
                <w:sz w:val="19"/>
                <w:szCs w:val="19"/>
                <w:color w:val="auto"/>
              </w:rPr>
            </w:pPr>
          </w:p>
        </w:tc>
        <w:tc>
          <w:tcPr>
            <w:tcW w:w="4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203,660</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113,075</w:t>
            </w:r>
          </w:p>
        </w:tc>
      </w:tr>
      <w:tr>
        <w:trPr>
          <w:trHeight w:val="224"/>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sales of MSR</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(1,467)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(3,724)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(547)</w:t>
            </w:r>
          </w:p>
        </w:tc>
      </w:tr>
      <w:tr>
        <w:trPr>
          <w:trHeight w:val="224"/>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380" w:type="dxa"/>
            <w:vAlign w:val="bottom"/>
          </w:tcPr>
          <w:p>
            <w:pPr>
              <w:spacing w:after="0"/>
              <w:rPr>
                <w:sz w:val="19"/>
                <w:szCs w:val="19"/>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(620)</w:t>
            </w:r>
          </w:p>
        </w:tc>
      </w:tr>
      <w:tr>
        <w:trPr>
          <w:trHeight w:val="224"/>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insurance agency</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(53,349)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on sales of securities (including impairments)</w:t>
            </w:r>
          </w:p>
        </w:tc>
        <w:tc>
          <w:tcPr>
            <w:tcW w:w="380" w:type="dxa"/>
            <w:vAlign w:val="bottom"/>
          </w:tcPr>
          <w:p>
            <w:pPr>
              <w:spacing w:after="0"/>
              <w:rPr>
                <w:sz w:val="19"/>
                <w:szCs w:val="19"/>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41,790</w:t>
            </w:r>
          </w:p>
        </w:tc>
      </w:tr>
      <w:tr>
        <w:trPr>
          <w:trHeight w:val="217"/>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adjusted noninterest income (non-GAAP) (P)</w:t>
            </w:r>
          </w:p>
        </w:tc>
        <w:tc>
          <w:tcPr>
            <w:tcW w:w="380" w:type="dxa"/>
            <w:vAlign w:val="bottom"/>
            <w:tcBorders>
              <w:top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180,413</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146,531</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153,698</w:t>
            </w:r>
          </w:p>
        </w:tc>
      </w:tr>
      <w:tr>
        <w:trPr>
          <w:trHeight w:val="263"/>
        </w:trPr>
        <w:tc>
          <w:tcPr>
            <w:tcW w:w="5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24"/>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 expense (GAAP) (Q)</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651,660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461,618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439,622</w:t>
            </w:r>
          </w:p>
        </w:tc>
      </w:tr>
      <w:tr>
        <w:trPr>
          <w:trHeight w:val="224"/>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80" w:type="dxa"/>
            <w:vAlign w:val="bottom"/>
          </w:tcPr>
          <w:p>
            <w:pPr>
              <w:spacing w:after="0"/>
              <w:rPr>
                <w:sz w:val="19"/>
                <w:szCs w:val="19"/>
                <w:color w:val="auto"/>
              </w:rPr>
            </w:pPr>
          </w:p>
        </w:tc>
        <w:tc>
          <w:tcPr>
            <w:tcW w:w="13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(27,103)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(4,691)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(5,380)</w:t>
            </w:r>
          </w:p>
        </w:tc>
      </w:tr>
      <w:tr>
        <w:trPr>
          <w:trHeight w:val="224"/>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Merger and conversion expense</w:t>
            </w: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(49,331)</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(13,349)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adjusted noninterest expense (non-GAAP) (R)</w:t>
            </w: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575,226</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443,578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434,242</w:t>
            </w: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9"/>
        </w:trPr>
        <w:tc>
          <w:tcPr>
            <w:tcW w:w="5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4"/>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Efficiency ratio (GAAP): Q/(N+O)</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63.57 %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68.33 %</w:t>
            </w:r>
          </w:p>
        </w:tc>
      </w:tr>
      <w:tr>
        <w:trPr>
          <w:trHeight w:val="224"/>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efficiency ratio (non-GAAP): R/(N+P)</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57.46 %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63.48 %</w:t>
            </w:r>
          </w:p>
        </w:tc>
      </w:tr>
      <w:tr>
        <w:trPr>
          <w:trHeight w:val="263"/>
        </w:trPr>
        <w:tc>
          <w:tcPr>
            <w:tcW w:w="5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24"/>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Interest Income and Adjusted Net Interest Margin</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4"/>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interest income (FTE) (GAAP)</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820,641</w:t>
            </w:r>
          </w:p>
        </w:tc>
        <w:tc>
          <w:tcPr>
            <w:tcW w:w="80" w:type="dxa"/>
            <w:vAlign w:val="bottom"/>
          </w:tcPr>
          <w:p>
            <w:pPr>
              <w:spacing w:after="0"/>
              <w:rPr>
                <w:sz w:val="19"/>
                <w:szCs w:val="19"/>
                <w:color w:val="auto"/>
              </w:rPr>
            </w:pPr>
          </w:p>
        </w:tc>
        <w:tc>
          <w:tcPr>
            <w:tcW w:w="4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522,526</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530,340</w:t>
            </w:r>
          </w:p>
        </w:tc>
      </w:tr>
      <w:tr>
        <w:trPr>
          <w:trHeight w:val="224"/>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income collected on problem loans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(7,236)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(219)</w:t>
            </w:r>
          </w:p>
        </w:tc>
      </w:tr>
      <w:tr>
        <w:trPr>
          <w:trHeight w:val="224"/>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 recognized on purchased loans</w:t>
            </w:r>
          </w:p>
        </w:tc>
        <w:tc>
          <w:tcPr>
            <w:tcW w:w="380" w:type="dxa"/>
            <w:vAlign w:val="bottom"/>
          </w:tcPr>
          <w:p>
            <w:pPr>
              <w:spacing w:after="0"/>
              <w:rPr>
                <w:sz w:val="19"/>
                <w:szCs w:val="19"/>
                <w:color w:val="auto"/>
              </w:rPr>
            </w:pPr>
          </w:p>
        </w:tc>
        <w:tc>
          <w:tcPr>
            <w:tcW w:w="13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(48,886)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(3,402)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(4,166)</w:t>
            </w:r>
          </w:p>
        </w:tc>
      </w:tr>
      <w:tr>
        <w:trPr>
          <w:trHeight w:val="224"/>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recognized on purchased time deposits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7,391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recognized on purchased long term borrowings</w:t>
            </w:r>
          </w:p>
        </w:tc>
        <w:tc>
          <w:tcPr>
            <w:tcW w:w="380" w:type="dxa"/>
            <w:vAlign w:val="bottom"/>
          </w:tcPr>
          <w:p>
            <w:pPr>
              <w:spacing w:after="0"/>
              <w:rPr>
                <w:sz w:val="19"/>
                <w:szCs w:val="19"/>
                <w:color w:val="auto"/>
              </w:rPr>
            </w:pP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2,244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interest income (FTE) (non-GAAP) (S)</w:t>
            </w:r>
          </w:p>
        </w:tc>
        <w:tc>
          <w:tcPr>
            <w:tcW w:w="380" w:type="dxa"/>
            <w:vAlign w:val="bottom"/>
            <w:tcBorders>
              <w:top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774,154</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518,354</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525,955</w:t>
            </w: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96" w:right="35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43"/>
        </w:trPr>
        <w:tc>
          <w:tcPr>
            <w:tcW w:w="59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7"/>
        </w:trPr>
        <w:tc>
          <w:tcPr>
            <w:tcW w:w="59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24"/>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earning assets (T)</w:t>
            </w: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21,681,165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15,666,170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15,359,172</w:t>
            </w:r>
          </w:p>
        </w:tc>
      </w:tr>
      <w:tr>
        <w:trPr>
          <w:trHeight w:val="263"/>
        </w:trPr>
        <w:tc>
          <w:tcPr>
            <w:tcW w:w="59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24"/>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margin (GAAP): N/T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3.45 %</w:t>
            </w:r>
          </w:p>
        </w:tc>
      </w:tr>
      <w:tr>
        <w:trPr>
          <w:trHeight w:val="228"/>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interest margin (non-GAAP): S/T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3.42 %</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Tax effect is calculated based on the applicable periods’ effective tax rate.</w:t>
      </w:r>
    </w:p>
    <w:p>
      <w:pPr>
        <w:spacing w:after="0" w:line="27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None of the non-GAAP financial measures the Company has included in this document is intended to be considered in isolation or as a substitute for any measure prepared in accordance with GAAP. Readers of this Form 10-K should note that, because there are no standard definitions for how to calculate the non-GAAP financial measures that we use as well as the results, the Company’s calculations may not be comparable to similarly-titled measures presented by other companies. Also, there may be limits in the usefulness of these measures to readers of this document. As a result, the Company encourages readers to consider its consolidated financial statements and footnotes thereto in their entirety and not to rely on any single financial measure.</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63" w:lineRule="exact"/>
        <w:rPr>
          <w:sz w:val="20"/>
          <w:szCs w:val="20"/>
          <w:color w:val="auto"/>
        </w:rPr>
      </w:pPr>
    </w:p>
    <w:p>
      <w:pPr>
        <w:jc w:val="both"/>
        <w:spacing w:after="0" w:line="332" w:lineRule="auto"/>
        <w:rPr>
          <w:sz w:val="20"/>
          <w:szCs w:val="20"/>
          <w:color w:val="auto"/>
        </w:rPr>
      </w:pPr>
      <w:r>
        <w:rPr>
          <w:rFonts w:ascii="Times New Roman" w:cs="Times New Roman" w:eastAsia="Times New Roman" w:hAnsi="Times New Roman"/>
          <w:sz w:val="16"/>
          <w:szCs w:val="16"/>
          <w:color w:val="auto"/>
        </w:rPr>
        <w:t>Please refer to the discussion found under the headings “Risk Management – Interest Rate Risk” and “Liquidity and Capital Resources” in Item 7, Management’s Discussion and Analysis of Financial Condition and Results of Operations, in this report for the disclosures required pursuant to this Item 7A.</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 Form 10-K</w:t>
      </w:r>
    </w:p>
    <w:p>
      <w:pPr>
        <w:spacing w:after="0" w:line="1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COPY OF THIS ANNUAL REPORT ON FORM 10-K, AS FILED WITH THE SECURITIES AND EXCHANGE COMMISSION, MAY BE OBTAINED WITHOUT CHARGE BY DIRECTING A WRITTEN REQUEST TO: JOHN S. OXFORD, SENIOR VICE PRESIDENT AND CHIEF MARKETING OFFICER, RENASANT BANK, 204 S. BROADWAY, TUPELO, MISSISSIPPI 38804.</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0"/>
        </w:trPr>
        <w:tc>
          <w:tcPr>
            <w:tcW w:w="10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5"/>
        </w:trPr>
        <w:tc>
          <w:tcPr>
            <w:tcW w:w="10580" w:type="dxa"/>
            <w:vAlign w:val="bottom"/>
          </w:tcPr>
          <w:p>
            <w:pPr>
              <w:jc w:val="center"/>
              <w:ind w:left="572"/>
              <w:spacing w:after="0"/>
              <w:rPr>
                <w:sz w:val="20"/>
                <w:szCs w:val="20"/>
                <w:color w:val="auto"/>
              </w:rPr>
            </w:pPr>
            <w:r>
              <w:rPr>
                <w:rFonts w:ascii="Times New Roman" w:cs="Times New Roman" w:eastAsia="Times New Roman" w:hAnsi="Times New Roman"/>
                <w:sz w:val="18"/>
                <w:szCs w:val="18"/>
                <w:b w:val="1"/>
                <w:bCs w:val="1"/>
                <w:color w:val="auto"/>
                <w:w w:val="97"/>
              </w:rPr>
              <w:t>RENASANT CORPORATION AND SUBSIDIARIES</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10580" w:type="dxa"/>
            <w:vAlign w:val="bottom"/>
          </w:tcPr>
          <w:p>
            <w:pPr>
              <w:jc w:val="center"/>
              <w:ind w:left="592"/>
              <w:spacing w:after="0"/>
              <w:rPr>
                <w:sz w:val="20"/>
                <w:szCs w:val="20"/>
                <w:color w:val="auto"/>
              </w:rPr>
            </w:pPr>
            <w:r>
              <w:rPr>
                <w:rFonts w:ascii="Times New Roman" w:cs="Times New Roman" w:eastAsia="Times New Roman" w:hAnsi="Times New Roman"/>
                <w:sz w:val="18"/>
                <w:szCs w:val="18"/>
                <w:b w:val="1"/>
                <w:bCs w:val="1"/>
                <w:color w:val="auto"/>
                <w:w w:val="96"/>
              </w:rPr>
              <w:t>CONSOLIDATED FINANCIAL STATEMENTS</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580" w:type="dxa"/>
            <w:vAlign w:val="bottom"/>
          </w:tcPr>
          <w:p>
            <w:pPr>
              <w:jc w:val="center"/>
              <w:ind w:left="572"/>
              <w:spacing w:after="0"/>
              <w:rPr>
                <w:sz w:val="20"/>
                <w:szCs w:val="20"/>
                <w:color w:val="auto"/>
              </w:rPr>
            </w:pPr>
            <w:r>
              <w:rPr>
                <w:rFonts w:ascii="Times New Roman" w:cs="Times New Roman" w:eastAsia="Times New Roman" w:hAnsi="Times New Roman"/>
                <w:sz w:val="18"/>
                <w:szCs w:val="18"/>
                <w:b w:val="1"/>
                <w:bCs w:val="1"/>
                <w:color w:val="auto"/>
                <w:w w:val="96"/>
              </w:rPr>
              <w:t>CONTENTS</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05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0000FF"/>
              </w:rPr>
              <w:t xml:space="preserve">Reports of Independent Registered Public Accounting Firm </w:t>
            </w:r>
            <w:r>
              <w:rPr>
                <w:rFonts w:ascii="Times New Roman" w:cs="Times New Roman" w:eastAsia="Times New Roman" w:hAnsi="Times New Roman"/>
                <w:sz w:val="18"/>
                <w:szCs w:val="18"/>
                <w:color w:val="000000"/>
              </w:rPr>
              <w:t>(BDO USA, P.C (formerly Horne LLP), Memphis, TN PCAOB ID #: 243)</w:t>
            </w:r>
          </w:p>
        </w:tc>
        <w:tc>
          <w:tcPr>
            <w:tcW w:w="6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12"/>
        </w:trPr>
        <w:tc>
          <w:tcPr>
            <w:tcW w:w="10580" w:type="dxa"/>
            <w:vAlign w:val="bottom"/>
            <w:vMerge w:val="continue"/>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65</w:t>
            </w:r>
          </w:p>
        </w:tc>
        <w:tc>
          <w:tcPr>
            <w:tcW w:w="0" w:type="dxa"/>
            <w:vAlign w:val="bottom"/>
          </w:tcPr>
          <w:p>
            <w:pPr>
              <w:spacing w:after="0"/>
              <w:rPr>
                <w:sz w:val="1"/>
                <w:szCs w:val="1"/>
                <w:color w:val="auto"/>
              </w:rPr>
            </w:pPr>
          </w:p>
        </w:tc>
      </w:tr>
      <w:tr>
        <w:trPr>
          <w:trHeight w:val="224"/>
        </w:trPr>
        <w:tc>
          <w:tcPr>
            <w:tcW w:w="105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Consolidated Balance Sheets at December 31, 2025 and 2024</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69</w:t>
            </w:r>
          </w:p>
        </w:tc>
        <w:tc>
          <w:tcPr>
            <w:tcW w:w="0" w:type="dxa"/>
            <w:vAlign w:val="bottom"/>
          </w:tcPr>
          <w:p>
            <w:pPr>
              <w:spacing w:after="0"/>
              <w:rPr>
                <w:sz w:val="1"/>
                <w:szCs w:val="1"/>
                <w:color w:val="auto"/>
              </w:rPr>
            </w:pPr>
          </w:p>
        </w:tc>
      </w:tr>
      <w:tr>
        <w:trPr>
          <w:trHeight w:val="224"/>
        </w:trPr>
        <w:tc>
          <w:tcPr>
            <w:tcW w:w="105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Consolidated Statements of Income for the Years Ended December 31, 2025, 2024 and 2023</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70</w:t>
            </w:r>
          </w:p>
        </w:tc>
        <w:tc>
          <w:tcPr>
            <w:tcW w:w="0" w:type="dxa"/>
            <w:vAlign w:val="bottom"/>
          </w:tcPr>
          <w:p>
            <w:pPr>
              <w:spacing w:after="0"/>
              <w:rPr>
                <w:sz w:val="1"/>
                <w:szCs w:val="1"/>
                <w:color w:val="auto"/>
              </w:rPr>
            </w:pPr>
          </w:p>
        </w:tc>
      </w:tr>
      <w:tr>
        <w:trPr>
          <w:trHeight w:val="224"/>
        </w:trPr>
        <w:tc>
          <w:tcPr>
            <w:tcW w:w="105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Consolidated Statements of Comprehensive Income for the Years Ended December 31, 2025, 2024 and 2023</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71</w:t>
            </w:r>
          </w:p>
        </w:tc>
        <w:tc>
          <w:tcPr>
            <w:tcW w:w="0" w:type="dxa"/>
            <w:vAlign w:val="bottom"/>
          </w:tcPr>
          <w:p>
            <w:pPr>
              <w:spacing w:after="0"/>
              <w:rPr>
                <w:sz w:val="1"/>
                <w:szCs w:val="1"/>
                <w:color w:val="auto"/>
              </w:rPr>
            </w:pPr>
          </w:p>
        </w:tc>
      </w:tr>
      <w:tr>
        <w:trPr>
          <w:trHeight w:val="224"/>
        </w:trPr>
        <w:tc>
          <w:tcPr>
            <w:tcW w:w="105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Consolidated Statements of Changes in Shareholders’ Equity for the Years Ended December 31, 2025, 2024 and 2023</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72</w:t>
            </w:r>
          </w:p>
        </w:tc>
        <w:tc>
          <w:tcPr>
            <w:tcW w:w="0" w:type="dxa"/>
            <w:vAlign w:val="bottom"/>
          </w:tcPr>
          <w:p>
            <w:pPr>
              <w:spacing w:after="0"/>
              <w:rPr>
                <w:sz w:val="1"/>
                <w:szCs w:val="1"/>
                <w:color w:val="auto"/>
              </w:rPr>
            </w:pPr>
          </w:p>
        </w:tc>
      </w:tr>
      <w:tr>
        <w:trPr>
          <w:trHeight w:val="224"/>
        </w:trPr>
        <w:tc>
          <w:tcPr>
            <w:tcW w:w="105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2025, 2024 and 2023</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73</w:t>
            </w:r>
          </w:p>
        </w:tc>
        <w:tc>
          <w:tcPr>
            <w:tcW w:w="0" w:type="dxa"/>
            <w:vAlign w:val="bottom"/>
          </w:tcPr>
          <w:p>
            <w:pPr>
              <w:spacing w:after="0"/>
              <w:rPr>
                <w:sz w:val="1"/>
                <w:szCs w:val="1"/>
                <w:color w:val="auto"/>
              </w:rPr>
            </w:pPr>
          </w:p>
        </w:tc>
      </w:tr>
      <w:tr>
        <w:trPr>
          <w:trHeight w:val="228"/>
        </w:trPr>
        <w:tc>
          <w:tcPr>
            <w:tcW w:w="105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69" w:right="35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Renasant Corporation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Tupelo, Mississippi</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16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Renasant Corporation (the “Company”) as of December 31, 2025 and 2024, the related consolidated statements of income, comprehensive income, changes in shareholders’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conformity with accounting principles generally accepted in the United States of America.</w:t>
      </w:r>
    </w:p>
    <w:p>
      <w:pPr>
        <w:spacing w:after="0" w:line="1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and our report dated March 2, 2026, expressed an adverse opinion thereon.</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1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the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 - Loans</w:t>
      </w:r>
    </w:p>
    <w:p>
      <w:pPr>
        <w:spacing w:after="0" w:line="16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As described in Notes 4 and 5 to the Company's consolidated financial statements, as of December 31, 2025, the Company had a net loan portfolio of approximately $19.0 billion and related allowance for credit losses (“ACL”) of $294.0 million. As described in Note 1 to the Company’s consolidated financial statements, the ACL represents management’s estimate of credit losses for the remaining estimated life of the loan portfolio, and uses loss experience, current and projected economic conditions, asset quality trends, and known and inherent risks in the portfolio to develop the quantitative component. This quantitative component is then adjusted for qualitative risk factors that involve management estimates and subjective assumptions that require a high degree of management’s judgment.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68" w:name="page69"/>
    <w:bookmarkEnd w:id="68"/>
    <w:p>
      <w:pPr>
        <w:jc w:val="both"/>
        <w:spacing w:after="0" w:line="252" w:lineRule="auto"/>
        <w:rPr>
          <w:sz w:val="20"/>
          <w:szCs w:val="20"/>
          <w:color w:val="auto"/>
        </w:rPr>
      </w:pPr>
      <w:r>
        <w:rPr>
          <w:rFonts w:ascii="Times New Roman" w:cs="Times New Roman" w:eastAsia="Times New Roman" w:hAnsi="Times New Roman"/>
          <w:sz w:val="18"/>
          <w:szCs w:val="18"/>
          <w:color w:val="auto"/>
        </w:rPr>
        <w:t>We identified (i) certain assumptions in the determination of the qualitative factors and (ii) the selection of macroeconomic forecasts used for the ACL in the evaluation of loans evaluated on a collective basis as a critical audit matter. Auditing these complex judgments and assumptions involved especially challenging auditor judgment due to the subjective nature of management’s qualitative assessment, inherent uncertainty involved in forecasting, and the nature and extent of audit effort required to address these matters, including the extent of specialized skills and knowledge needed.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161" w:lineRule="exact"/>
        <w:rPr>
          <w:sz w:val="20"/>
          <w:szCs w:val="20"/>
          <w:color w:val="auto"/>
        </w:rPr>
      </w:pPr>
    </w:p>
    <w:p>
      <w:pPr>
        <w:ind w:left="640" w:hanging="319"/>
        <w:spacing w:after="0" w:line="268" w:lineRule="auto"/>
        <w:tabs>
          <w:tab w:leader="none" w:pos="63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design and operating effectiveness of controls associated with loans evaluated on a collective basis, including controls around the reliability and accuracy of relevant data used in the ACL model, and review and approval of selected qualitative factors.</w:t>
      </w:r>
    </w:p>
    <w:p>
      <w:pPr>
        <w:spacing w:after="0" w:line="116"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reasonableness of management’s assumptions in the determination of the qualitative factors for loans evaluated on a collective basis by assessing consistent application, evaluation and conclusions reached, including consideration of contradictory evidence.</w:t>
      </w:r>
    </w:p>
    <w:p>
      <w:pPr>
        <w:spacing w:after="0" w:line="116"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relevance and reliability of data used in determining the qualitative factors by comparing the data to i) internally developed and third-party sources, and ii) other audit evidence gathered.</w:t>
      </w:r>
    </w:p>
    <w:p>
      <w:pPr>
        <w:spacing w:after="0" w:line="116"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Utilizing personnel with specialized skill and knowledge in evaluating the reasonableness of the macroeconomic forecasts used in the qualitative component of the ACL.</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Acquired Loans</w:t>
      </w:r>
    </w:p>
    <w:p>
      <w:pPr>
        <w:spacing w:after="0" w:line="1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described in Note 2 to the Company’s consolidated financial statements, the Company completed its acquisition of The First Bancshares, Inc. on April 1, 2025, for a total purchase consideration of $1.1 billion, with total assets acquired of $7.6 billion, liabilities assumed of $6.9 billion and resulting goodwill of $418.2 million. Determination of the acquisition date fair values of the assets acquired and liabilities assumed require the Company to make significant estimates and assumptions.</w:t>
      </w:r>
    </w:p>
    <w:p>
      <w:pPr>
        <w:spacing w:after="0" w:line="1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identified certain assumptions in the purchase accounting adjustment for acquired loans used in the determination of the credit component of the adjustment for non-purchased credit deteriorated (“Non-PCD”) loans as a critical audit matter. Auditing these significant assumptions involved especially challenging and subjective auditor judgment due to the nature and extent of audit effort required to address these matters, including evaluating the appropriateness of the market data selected.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161" w:lineRule="exact"/>
        <w:rPr>
          <w:sz w:val="20"/>
          <w:szCs w:val="20"/>
          <w:color w:val="auto"/>
        </w:rPr>
      </w:pPr>
    </w:p>
    <w:p>
      <w:pPr>
        <w:ind w:left="640" w:hanging="319"/>
        <w:spacing w:after="0"/>
        <w:tabs>
          <w:tab w:leader="none" w:pos="6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Testing the design and operating effectiveness of the controls associated with evaluating the credit component of the adjustment to Non-PCD loans.</w:t>
      </w:r>
    </w:p>
    <w:p>
      <w:pPr>
        <w:spacing w:after="0" w:line="184" w:lineRule="exact"/>
        <w:rPr>
          <w:rFonts w:ascii="Times New Roman" w:cs="Times New Roman" w:eastAsia="Times New Roman" w:hAnsi="Times New Roman"/>
          <w:sz w:val="16"/>
          <w:szCs w:val="16"/>
          <w:color w:val="auto"/>
        </w:rPr>
      </w:pPr>
    </w:p>
    <w:p>
      <w:pPr>
        <w:ind w:left="640" w:hanging="319"/>
        <w:spacing w:after="0" w:line="268" w:lineRule="auto"/>
        <w:tabs>
          <w:tab w:leader="none" w:pos="6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completeness and accuracy of the loan level data utilized in the valuation of the acquisition date fair value of acquired Non-PCD loans by confirming on a sample basis, loan level data with borrowers and agreeing loan level data to management’s documentation.</w:t>
      </w:r>
    </w:p>
    <w:p>
      <w:pPr>
        <w:spacing w:after="0" w:line="116" w:lineRule="exact"/>
        <w:rPr>
          <w:rFonts w:ascii="Times New Roman" w:cs="Times New Roman" w:eastAsia="Times New Roman" w:hAnsi="Times New Roman"/>
          <w:sz w:val="18"/>
          <w:szCs w:val="18"/>
          <w:color w:val="auto"/>
        </w:rPr>
      </w:pPr>
    </w:p>
    <w:p>
      <w:pPr>
        <w:jc w:val="both"/>
        <w:ind w:left="640" w:hanging="319"/>
        <w:spacing w:after="0" w:line="256" w:lineRule="auto"/>
        <w:tabs>
          <w:tab w:leader="none" w:pos="6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appropriateness of the valuation model used to develop the credit component of the adjustment to Non-PCD loans, by comparing the credit characteristics of the acquired loan portfolio to the Company’s legacy loans evaluated on a collective basis and identifying potential sources of disconfirming information.</w:t>
      </w: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BDO USA, P.C.</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(formerly HORNE LLP)</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 have served as the Company’s auditor since 2005.</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Memphis, Tennessee</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Renasant Corporation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Tupelo, Mississippi</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We have audited Renasant Corporation’s (the “Company”) internal control over financial reporting as of December 31, 2025, based on criteria established in </w:t>
      </w:r>
      <w:r>
        <w:rPr>
          <w:rFonts w:ascii="Times New Roman" w:cs="Times New Roman" w:eastAsia="Times New Roman" w:hAnsi="Times New Roman"/>
          <w:sz w:val="18"/>
          <w:szCs w:val="18"/>
          <w:i w:val="1"/>
          <w:iCs w:val="1"/>
          <w:color w:val="auto"/>
        </w:rPr>
        <w:t xml:space="preserve">Internal Control – Integrated Framework (2013) </w:t>
      </w:r>
      <w:r>
        <w:rPr>
          <w:rFonts w:ascii="Times New Roman" w:cs="Times New Roman" w:eastAsia="Times New Roman" w:hAnsi="Times New Roman"/>
          <w:sz w:val="18"/>
          <w:szCs w:val="18"/>
          <w:color w:val="auto"/>
        </w:rPr>
        <w:t>issued by the Committee of Sponsoring Organizations of the Treadway Commission (the “COSO criteria”).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opinion, the Company did not maintain, in all material respects, effective internal control over financial reporting as of December 31, 2025, based on the COSO criteria.</w:t>
      </w:r>
    </w:p>
    <w:p>
      <w:pPr>
        <w:spacing w:after="0" w:line="1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We do not express an opinion or any other form of assurance on management’s statements referring to any corrective actions taken by the Company after the date of management’s assessment.</w:t>
      </w:r>
    </w:p>
    <w:p>
      <w:pPr>
        <w:spacing w:after="0" w:line="1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accompanying consolidated balance sheets of the Company as of December 31, 2025 and 2024, the related consolidated statements of income, comprehensive income, changes in shareholders’ equity, and cash flows, for each of the three years in the period ended December 31, 2025, and the related notes and our report dated March 2, 2026 expressed an unqualified opinion.</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Report on Management's Assessment of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3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A material weakness regarding management’s failure to implement appropriate segregation of duties over a certain subset of manual journal entries has been identified and described in management’s assessment. This material weakness was considered in determining the nature, timing, and extent of audit tests applied in our audit of the 2025 consolidated financial statements, and this report does not affect our report dated March 2, 2026, on those consolidated financial statements.</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4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70" w:name="page71"/>
    <w:bookmarkEnd w:id="70"/>
    <w:p>
      <w:pPr>
        <w:jc w:val="both"/>
        <w:spacing w:after="0" w:line="268" w:lineRule="auto"/>
        <w:rPr>
          <w:sz w:val="20"/>
          <w:szCs w:val="20"/>
          <w:color w:val="auto"/>
        </w:rPr>
      </w:pPr>
      <w:r>
        <w:rPr>
          <w:rFonts w:ascii="Times New Roman" w:cs="Times New Roman" w:eastAsia="Times New Roman" w:hAnsi="Times New Roman"/>
          <w:sz w:val="18"/>
          <w:szCs w:val="18"/>
          <w:color w:val="auto"/>
        </w:rPr>
        <w:t>company; and (3) provide reasonable assurance regarding prevention or timely detection of unauthorized acquisition, use, or disposition of the company’s assets that could have a material effect on the financial statements.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BDO USA, P.C.</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Memphis, Tennessee</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2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due from banks</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299,592</w:t>
            </w:r>
          </w:p>
        </w:tc>
        <w:tc>
          <w:tcPr>
            <w:tcW w:w="100" w:type="dxa"/>
            <w:vAlign w:val="bottom"/>
          </w:tcPr>
          <w:p>
            <w:pPr>
              <w:spacing w:after="0"/>
              <w:rPr>
                <w:sz w:val="18"/>
                <w:szCs w:val="18"/>
                <w:color w:val="auto"/>
              </w:rPr>
            </w:pPr>
          </w:p>
        </w:tc>
        <w:tc>
          <w:tcPr>
            <w:tcW w:w="50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198,408</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Interest-bearing balances with banks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771,126</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893,624</w:t>
            </w:r>
          </w:p>
        </w:tc>
        <w:tc>
          <w:tcPr>
            <w:tcW w:w="0" w:type="dxa"/>
            <w:vAlign w:val="bottom"/>
          </w:tcPr>
          <w:p>
            <w:pPr>
              <w:spacing w:after="0"/>
              <w:rPr>
                <w:sz w:val="1"/>
                <w:szCs w:val="1"/>
                <w:color w:val="auto"/>
              </w:rPr>
            </w:pPr>
          </w:p>
        </w:tc>
      </w:tr>
      <w:tr>
        <w:trPr>
          <w:trHeight w:val="202"/>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1,070,718</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1,092,032</w:t>
            </w:r>
          </w:p>
        </w:tc>
        <w:tc>
          <w:tcPr>
            <w:tcW w:w="0" w:type="dxa"/>
            <w:vAlign w:val="bottom"/>
          </w:tcPr>
          <w:p>
            <w:pPr>
              <w:spacing w:after="0"/>
              <w:rPr>
                <w:sz w:val="1"/>
                <w:szCs w:val="1"/>
                <w:color w:val="auto"/>
              </w:rPr>
            </w:pPr>
          </w:p>
        </w:tc>
      </w:tr>
      <w:tr>
        <w:trPr>
          <w:trHeight w:val="160"/>
        </w:trPr>
        <w:tc>
          <w:tcPr>
            <w:tcW w:w="826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w w:val="98"/>
              </w:rPr>
              <w:t>Securities held to maturity (net of allowance for credit losses of $32 at both December 31, 2025 and 2024) (fair value of $961,870</w:t>
            </w:r>
          </w:p>
        </w:tc>
        <w:tc>
          <w:tcPr>
            <w:tcW w:w="3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1,030,073</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1,126,112</w:t>
            </w:r>
          </w:p>
        </w:tc>
        <w:tc>
          <w:tcPr>
            <w:tcW w:w="0" w:type="dxa"/>
            <w:vAlign w:val="bottom"/>
          </w:tcPr>
          <w:p>
            <w:pPr>
              <w:spacing w:after="0"/>
              <w:rPr>
                <w:sz w:val="1"/>
                <w:szCs w:val="1"/>
                <w:color w:val="auto"/>
              </w:rPr>
            </w:pPr>
          </w:p>
        </w:tc>
      </w:tr>
      <w:tr>
        <w:trPr>
          <w:trHeight w:val="21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 $1,002,544, respectively)</w:t>
            </w:r>
          </w:p>
        </w:tc>
        <w:tc>
          <w:tcPr>
            <w:tcW w:w="3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Securities available for sale, at fair value (amortized cost of $2,635,495 and $968,927, respectively)</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2,560,818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831,013</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held for sale, at fair value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265,959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246,171</w:t>
            </w:r>
          </w:p>
        </w:tc>
        <w:tc>
          <w:tcPr>
            <w:tcW w:w="0" w:type="dxa"/>
            <w:vAlign w:val="bottom"/>
          </w:tcPr>
          <w:p>
            <w:pPr>
              <w:spacing w:after="0"/>
              <w:rPr>
                <w:sz w:val="1"/>
                <w:szCs w:val="1"/>
                <w:color w:val="auto"/>
              </w:rPr>
            </w:pPr>
          </w:p>
        </w:tc>
      </w:tr>
      <w:tr>
        <w:trPr>
          <w:trHeight w:val="209"/>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held for investment, net of unearned income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19,047,039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12,885,020</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(293,955)</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(201,756)</w:t>
            </w:r>
          </w:p>
        </w:tc>
        <w:tc>
          <w:tcPr>
            <w:tcW w:w="0" w:type="dxa"/>
            <w:vAlign w:val="bottom"/>
          </w:tcPr>
          <w:p>
            <w:pPr>
              <w:spacing w:after="0"/>
              <w:rPr>
                <w:sz w:val="1"/>
                <w:szCs w:val="1"/>
                <w:color w:val="auto"/>
              </w:rPr>
            </w:pPr>
          </w:p>
        </w:tc>
      </w:tr>
      <w:tr>
        <w:trPr>
          <w:trHeight w:val="202"/>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net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18,753,084</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12,683,264</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465,141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279,796</w:t>
            </w:r>
          </w:p>
        </w:tc>
        <w:tc>
          <w:tcPr>
            <w:tcW w:w="0" w:type="dxa"/>
            <w:vAlign w:val="bottom"/>
          </w:tcPr>
          <w:p>
            <w:pPr>
              <w:spacing w:after="0"/>
              <w:rPr>
                <w:sz w:val="1"/>
                <w:szCs w:val="1"/>
                <w:color w:val="auto"/>
              </w:rPr>
            </w:pPr>
          </w:p>
        </w:tc>
      </w:tr>
      <w:tr>
        <w:trPr>
          <w:trHeight w:val="209"/>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real estate owned, net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15,191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8,673</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1,405,840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988,898</w:t>
            </w:r>
          </w:p>
        </w:tc>
        <w:tc>
          <w:tcPr>
            <w:tcW w:w="0" w:type="dxa"/>
            <w:vAlign w:val="bottom"/>
          </w:tcPr>
          <w:p>
            <w:pPr>
              <w:spacing w:after="0"/>
              <w:rPr>
                <w:sz w:val="1"/>
                <w:szCs w:val="1"/>
                <w:color w:val="auto"/>
              </w:rPr>
            </w:pPr>
          </w:p>
        </w:tc>
      </w:tr>
      <w:tr>
        <w:trPr>
          <w:trHeight w:val="209"/>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146,612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14,105</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Bank-owned life insurance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492,541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391,810</w:t>
            </w:r>
          </w:p>
        </w:tc>
        <w:tc>
          <w:tcPr>
            <w:tcW w:w="0" w:type="dxa"/>
            <w:vAlign w:val="bottom"/>
          </w:tcPr>
          <w:p>
            <w:pPr>
              <w:spacing w:after="0"/>
              <w:rPr>
                <w:sz w:val="1"/>
                <w:szCs w:val="1"/>
                <w:color w:val="auto"/>
              </w:rPr>
            </w:pPr>
          </w:p>
        </w:tc>
      </w:tr>
      <w:tr>
        <w:trPr>
          <w:trHeight w:val="209"/>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 servicing rights, net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65,271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72,991</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480,178</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300,003</w:t>
            </w:r>
          </w:p>
        </w:tc>
        <w:tc>
          <w:tcPr>
            <w:tcW w:w="0" w:type="dxa"/>
            <w:vAlign w:val="bottom"/>
          </w:tcPr>
          <w:p>
            <w:pPr>
              <w:spacing w:after="0"/>
              <w:rPr>
                <w:sz w:val="1"/>
                <w:szCs w:val="1"/>
                <w:color w:val="auto"/>
              </w:rPr>
            </w:pPr>
          </w:p>
        </w:tc>
      </w:tr>
      <w:tr>
        <w:trPr>
          <w:trHeight w:val="202"/>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26,751,426</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18,034,868</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826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Deposits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Noninterest-bearing</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5,043,960</w:t>
            </w:r>
          </w:p>
        </w:tc>
        <w:tc>
          <w:tcPr>
            <w:tcW w:w="100" w:type="dxa"/>
            <w:vAlign w:val="bottom"/>
          </w:tcPr>
          <w:p>
            <w:pPr>
              <w:spacing w:after="0"/>
              <w:rPr>
                <w:sz w:val="18"/>
                <w:szCs w:val="18"/>
                <w:color w:val="auto"/>
              </w:rPr>
            </w:pPr>
          </w:p>
        </w:tc>
        <w:tc>
          <w:tcPr>
            <w:tcW w:w="50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3,403,981</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Interest-bearing</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16,429,110</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11,168,631</w:t>
            </w:r>
          </w:p>
        </w:tc>
        <w:tc>
          <w:tcPr>
            <w:tcW w:w="0" w:type="dxa"/>
            <w:vAlign w:val="bottom"/>
          </w:tcPr>
          <w:p>
            <w:pPr>
              <w:spacing w:after="0"/>
              <w:rPr>
                <w:sz w:val="1"/>
                <w:szCs w:val="1"/>
                <w:color w:val="auto"/>
              </w:rPr>
            </w:pPr>
          </w:p>
        </w:tc>
      </w:tr>
      <w:tr>
        <w:trPr>
          <w:trHeight w:val="202"/>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deposits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21,473,070</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14,572,612</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borrowings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555,774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108,018</w:t>
            </w:r>
          </w:p>
        </w:tc>
        <w:tc>
          <w:tcPr>
            <w:tcW w:w="0" w:type="dxa"/>
            <w:vAlign w:val="bottom"/>
          </w:tcPr>
          <w:p>
            <w:pPr>
              <w:spacing w:after="0"/>
              <w:rPr>
                <w:sz w:val="1"/>
                <w:szCs w:val="1"/>
                <w:color w:val="auto"/>
              </w:rPr>
            </w:pPr>
          </w:p>
        </w:tc>
      </w:tr>
      <w:tr>
        <w:trPr>
          <w:trHeight w:val="209"/>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499,756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430,614</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337,921</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245,306</w:t>
            </w:r>
          </w:p>
        </w:tc>
        <w:tc>
          <w:tcPr>
            <w:tcW w:w="0" w:type="dxa"/>
            <w:vAlign w:val="bottom"/>
          </w:tcPr>
          <w:p>
            <w:pPr>
              <w:spacing w:after="0"/>
              <w:rPr>
                <w:sz w:val="1"/>
                <w:szCs w:val="1"/>
                <w:color w:val="auto"/>
              </w:rPr>
            </w:pPr>
          </w:p>
        </w:tc>
      </w:tr>
      <w:tr>
        <w:trPr>
          <w:trHeight w:val="202"/>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22,866,521</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15,356,550</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Preferred stock, $0.01 par value – 5,000,000 shares authorized; no shares issued and outstanding</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0"/>
        </w:trPr>
        <w:tc>
          <w:tcPr>
            <w:tcW w:w="826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Common stock, $5.00 par value – 250,000,000 and 150,000,000 shares authorized, respectively; 97,722,397 and 66,484,225.00</w:t>
            </w:r>
          </w:p>
        </w:tc>
        <w:tc>
          <w:tcPr>
            <w:tcW w:w="3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488,612</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332,421</w:t>
            </w:r>
          </w:p>
        </w:tc>
        <w:tc>
          <w:tcPr>
            <w:tcW w:w="0" w:type="dxa"/>
            <w:vAlign w:val="bottom"/>
          </w:tcPr>
          <w:p>
            <w:pPr>
              <w:spacing w:after="0"/>
              <w:rPr>
                <w:sz w:val="1"/>
                <w:szCs w:val="1"/>
                <w:color w:val="auto"/>
              </w:rPr>
            </w:pPr>
          </w:p>
        </w:tc>
      </w:tr>
      <w:tr>
        <w:trPr>
          <w:trHeight w:val="21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issued, respectively; 94,636,207 and 63,565,690 shares outstanding, respectively</w:t>
            </w:r>
          </w:p>
        </w:tc>
        <w:tc>
          <w:tcPr>
            <w:tcW w:w="3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Treasury stock, at cost, 3,086,190 and 2,918,535 shares, respectively</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(103,494)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(97,196)</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2,392,997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1,491,847</w:t>
            </w:r>
          </w:p>
        </w:tc>
        <w:tc>
          <w:tcPr>
            <w:tcW w:w="0" w:type="dxa"/>
            <w:vAlign w:val="bottom"/>
          </w:tcPr>
          <w:p>
            <w:pPr>
              <w:spacing w:after="0"/>
              <w:rPr>
                <w:sz w:val="1"/>
                <w:szCs w:val="1"/>
                <w:color w:val="auto"/>
              </w:rPr>
            </w:pPr>
          </w:p>
        </w:tc>
      </w:tr>
      <w:tr>
        <w:trPr>
          <w:trHeight w:val="209"/>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1,196,522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1,093,854</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 net of taxes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(89,732)</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(142,608)</w:t>
            </w:r>
          </w:p>
        </w:tc>
        <w:tc>
          <w:tcPr>
            <w:tcW w:w="0" w:type="dxa"/>
            <w:vAlign w:val="bottom"/>
          </w:tcPr>
          <w:p>
            <w:pPr>
              <w:spacing w:after="0"/>
              <w:rPr>
                <w:sz w:val="1"/>
                <w:szCs w:val="1"/>
                <w:color w:val="auto"/>
              </w:rPr>
            </w:pPr>
          </w:p>
        </w:tc>
      </w:tr>
      <w:tr>
        <w:trPr>
          <w:trHeight w:val="202"/>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3,884,905</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2,678,318</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26,751,426</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18,034,868</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Notes to Consolidated Financial Statements.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674"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6"/>
          <w:szCs w:val="16"/>
          <w:color w:val="auto"/>
        </w:rPr>
        <w:t>Renasant Corporation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Consolidated Statements of Income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Data)</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4"/>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90"/>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w:t>
            </w: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1,128,013</w:t>
            </w:r>
          </w:p>
        </w:tc>
        <w:tc>
          <w:tcPr>
            <w:tcW w:w="42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806,296</w:t>
            </w:r>
          </w:p>
        </w:tc>
        <w:tc>
          <w:tcPr>
            <w:tcW w:w="100" w:type="dxa"/>
            <w:vAlign w:val="bottom"/>
          </w:tcPr>
          <w:p>
            <w:pPr>
              <w:spacing w:after="0"/>
              <w:rPr>
                <w:sz w:val="16"/>
                <w:szCs w:val="16"/>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716,456</w:t>
            </w:r>
          </w:p>
        </w:tc>
      </w:tr>
      <w:tr>
        <w:trPr>
          <w:trHeight w:val="20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0"/>
        </w:trPr>
        <w:tc>
          <w:tcPr>
            <w:tcW w:w="6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Taxable</w:t>
            </w:r>
          </w:p>
        </w:tc>
        <w:tc>
          <w:tcPr>
            <w:tcW w:w="320" w:type="dxa"/>
            <w:vAlign w:val="bottom"/>
          </w:tcPr>
          <w:p>
            <w:pPr>
              <w:spacing w:after="0"/>
              <w:rPr>
                <w:sz w:val="16"/>
                <w:szCs w:val="16"/>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90,054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37,383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44,482</w:t>
            </w:r>
          </w:p>
        </w:tc>
      </w:tr>
      <w:tr>
        <w:trPr>
          <w:trHeight w:val="205"/>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Tax-exempt</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10,920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4,541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6,006</w:t>
            </w:r>
          </w:p>
        </w:tc>
      </w:tr>
      <w:tr>
        <w:trPr>
          <w:trHeight w:val="191"/>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33,272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39,557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30,375</w:t>
            </w:r>
          </w:p>
        </w:tc>
      </w:tr>
      <w:tr>
        <w:trPr>
          <w:trHeight w:val="197"/>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interest income</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1,262,259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887,777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797,319</w:t>
            </w:r>
          </w:p>
        </w:tc>
      </w:tr>
      <w:tr>
        <w:trPr>
          <w:trHeight w:val="191"/>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4"/>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Deposits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412,553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346,592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232,331</w:t>
            </w:r>
          </w:p>
        </w:tc>
      </w:tr>
      <w:tr>
        <w:trPr>
          <w:trHeight w:val="191"/>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Borrowings</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45,737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28,989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45,661</w:t>
            </w:r>
          </w:p>
        </w:tc>
      </w:tr>
      <w:tr>
        <w:trPr>
          <w:trHeight w:val="197"/>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interest expense</w:t>
            </w: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458,290</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375,581</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277,992</w:t>
            </w:r>
          </w:p>
        </w:tc>
      </w:tr>
      <w:tr>
        <w:trPr>
          <w:trHeight w:val="183"/>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interest income</w:t>
            </w:r>
          </w:p>
        </w:tc>
        <w:tc>
          <w:tcPr>
            <w:tcW w:w="320" w:type="dxa"/>
            <w:vAlign w:val="bottom"/>
          </w:tcPr>
          <w:p>
            <w:pPr>
              <w:spacing w:after="0"/>
              <w:rPr>
                <w:sz w:val="15"/>
                <w:szCs w:val="15"/>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803,969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512,196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519,327</w:t>
            </w:r>
          </w:p>
        </w:tc>
      </w:tr>
      <w:tr>
        <w:trPr>
          <w:trHeight w:val="20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credit losses on loans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92,573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11,248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18,793</w:t>
            </w:r>
          </w:p>
        </w:tc>
      </w:tr>
      <w:tr>
        <w:trPr>
          <w:trHeight w:val="191"/>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Provision for (reversal of) credit losses on unfunded commitments</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14,884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(3,200)</w:t>
            </w:r>
          </w:p>
        </w:tc>
      </w:tr>
      <w:tr>
        <w:trPr>
          <w:trHeight w:val="197"/>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Provision for credit losses</w:t>
            </w: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107,457</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9,273</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15,593</w:t>
            </w:r>
          </w:p>
        </w:tc>
      </w:tr>
      <w:tr>
        <w:trPr>
          <w:trHeight w:val="183"/>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interest income after provision for credit losses</w:t>
            </w:r>
          </w:p>
        </w:tc>
        <w:tc>
          <w:tcPr>
            <w:tcW w:w="320" w:type="dxa"/>
            <w:vAlign w:val="bottom"/>
          </w:tcPr>
          <w:p>
            <w:pPr>
              <w:spacing w:after="0"/>
              <w:rPr>
                <w:sz w:val="15"/>
                <w:szCs w:val="15"/>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696,512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502,923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503,734</w:t>
            </w:r>
          </w:p>
        </w:tc>
      </w:tr>
      <w:tr>
        <w:trPr>
          <w:trHeight w:val="20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Noninterest income</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0"/>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Service charges on deposit accounts</w:t>
            </w:r>
          </w:p>
        </w:tc>
        <w:tc>
          <w:tcPr>
            <w:tcW w:w="320" w:type="dxa"/>
            <w:vAlign w:val="bottom"/>
          </w:tcPr>
          <w:p>
            <w:pPr>
              <w:spacing w:after="0"/>
              <w:rPr>
                <w:sz w:val="16"/>
                <w:szCs w:val="16"/>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51,933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41,779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39,199</w:t>
            </w:r>
          </w:p>
        </w:tc>
      </w:tr>
      <w:tr>
        <w:trPr>
          <w:trHeight w:val="20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Fees and commissions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19,796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16,190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17,901</w:t>
            </w:r>
          </w:p>
        </w:tc>
      </w:tr>
      <w:tr>
        <w:trPr>
          <w:trHeight w:val="190"/>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Insurance commissions</w:t>
            </w:r>
          </w:p>
        </w:tc>
        <w:tc>
          <w:tcPr>
            <w:tcW w:w="320" w:type="dxa"/>
            <w:vAlign w:val="bottom"/>
          </w:tcPr>
          <w:p>
            <w:pPr>
              <w:spacing w:after="0"/>
              <w:rPr>
                <w:sz w:val="16"/>
                <w:szCs w:val="16"/>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5,473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11,102</w:t>
            </w:r>
          </w:p>
        </w:tc>
      </w:tr>
      <w:tr>
        <w:trPr>
          <w:trHeight w:val="20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Wealth management revenue</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31,201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23,559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22,132</w:t>
            </w:r>
          </w:p>
        </w:tc>
      </w:tr>
      <w:tr>
        <w:trPr>
          <w:trHeight w:val="190"/>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Mortgage banking income</w:t>
            </w:r>
          </w:p>
        </w:tc>
        <w:tc>
          <w:tcPr>
            <w:tcW w:w="320" w:type="dxa"/>
            <w:vAlign w:val="bottom"/>
          </w:tcPr>
          <w:p>
            <w:pPr>
              <w:spacing w:after="0"/>
              <w:rPr>
                <w:sz w:val="16"/>
                <w:szCs w:val="16"/>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37,351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36,376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32,413</w:t>
            </w:r>
          </w:p>
        </w:tc>
      </w:tr>
      <w:tr>
        <w:trPr>
          <w:trHeight w:val="20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on sale of insurance agency</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53,349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on debt extinguishment</w:t>
            </w:r>
          </w:p>
        </w:tc>
        <w:tc>
          <w:tcPr>
            <w:tcW w:w="320" w:type="dxa"/>
            <w:vAlign w:val="bottom"/>
          </w:tcPr>
          <w:p>
            <w:pPr>
              <w:spacing w:after="0"/>
              <w:rPr>
                <w:sz w:val="16"/>
                <w:szCs w:val="16"/>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w:t>
            </w:r>
          </w:p>
        </w:tc>
      </w:tr>
      <w:tr>
        <w:trPr>
          <w:trHeight w:val="20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losses on sales of securities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(22,438)</w:t>
            </w:r>
          </w:p>
        </w:tc>
      </w:tr>
      <w:tr>
        <w:trPr>
          <w:trHeight w:val="190"/>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Impairment losses on securities</w:t>
            </w:r>
          </w:p>
        </w:tc>
        <w:tc>
          <w:tcPr>
            <w:tcW w:w="320" w:type="dxa"/>
            <w:vAlign w:val="bottom"/>
          </w:tcPr>
          <w:p>
            <w:pPr>
              <w:spacing w:after="0"/>
              <w:rPr>
                <w:sz w:val="16"/>
                <w:szCs w:val="16"/>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(19,352)</w:t>
            </w:r>
          </w:p>
        </w:tc>
      </w:tr>
      <w:tr>
        <w:trPr>
          <w:trHeight w:val="20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BOLI income</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14,244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11,567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10,463</w:t>
            </w:r>
          </w:p>
        </w:tc>
      </w:tr>
      <w:tr>
        <w:trPr>
          <w:trHeight w:val="191"/>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27,355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15,311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21,035</w:t>
            </w:r>
          </w:p>
        </w:tc>
      </w:tr>
      <w:tr>
        <w:trPr>
          <w:trHeight w:val="197"/>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noninterest income</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181,880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203,660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113,075</w:t>
            </w:r>
          </w:p>
        </w:tc>
      </w:tr>
      <w:tr>
        <w:trPr>
          <w:trHeight w:val="191"/>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Noninterest expense</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4"/>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Salaries and employee benefits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368,563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283,768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281,768</w:t>
            </w:r>
          </w:p>
        </w:tc>
      </w:tr>
      <w:tr>
        <w:trPr>
          <w:trHeight w:val="190"/>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Data processing</w:t>
            </w:r>
          </w:p>
        </w:tc>
        <w:tc>
          <w:tcPr>
            <w:tcW w:w="320" w:type="dxa"/>
            <w:vAlign w:val="bottom"/>
          </w:tcPr>
          <w:p>
            <w:pPr>
              <w:spacing w:after="0"/>
              <w:rPr>
                <w:sz w:val="16"/>
                <w:szCs w:val="16"/>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20,704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16,030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15,195</w:t>
            </w:r>
          </w:p>
        </w:tc>
      </w:tr>
      <w:tr>
        <w:trPr>
          <w:trHeight w:val="20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occupancy and equipment</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63,651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45,960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46,471</w:t>
            </w:r>
          </w:p>
        </w:tc>
      </w:tr>
      <w:tr>
        <w:trPr>
          <w:trHeight w:val="190"/>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real estate owned</w:t>
            </w:r>
          </w:p>
        </w:tc>
        <w:tc>
          <w:tcPr>
            <w:tcW w:w="320" w:type="dxa"/>
            <w:vAlign w:val="bottom"/>
          </w:tcPr>
          <w:p>
            <w:pPr>
              <w:spacing w:after="0"/>
              <w:rPr>
                <w:sz w:val="16"/>
                <w:szCs w:val="16"/>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1,651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858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w:t>
            </w:r>
          </w:p>
        </w:tc>
      </w:tr>
      <w:tr>
        <w:trPr>
          <w:trHeight w:val="20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Professional fees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14,869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12,418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13,671</w:t>
            </w:r>
          </w:p>
        </w:tc>
      </w:tr>
      <w:tr>
        <w:trPr>
          <w:trHeight w:val="190"/>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Advertising and public relations</w:t>
            </w:r>
          </w:p>
        </w:tc>
        <w:tc>
          <w:tcPr>
            <w:tcW w:w="320" w:type="dxa"/>
            <w:vAlign w:val="bottom"/>
          </w:tcPr>
          <w:p>
            <w:pPr>
              <w:spacing w:after="0"/>
              <w:rPr>
                <w:sz w:val="16"/>
                <w:szCs w:val="16"/>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18,355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16,210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14,726</w:t>
            </w:r>
          </w:p>
        </w:tc>
      </w:tr>
      <w:tr>
        <w:trPr>
          <w:trHeight w:val="20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amortization</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27,103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4,691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5,380</w:t>
            </w:r>
          </w:p>
        </w:tc>
      </w:tr>
      <w:tr>
        <w:trPr>
          <w:trHeight w:val="190"/>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Communications</w:t>
            </w:r>
          </w:p>
        </w:tc>
        <w:tc>
          <w:tcPr>
            <w:tcW w:w="320" w:type="dxa"/>
            <w:vAlign w:val="bottom"/>
          </w:tcPr>
          <w:p>
            <w:pPr>
              <w:spacing w:after="0"/>
              <w:rPr>
                <w:sz w:val="16"/>
                <w:szCs w:val="16"/>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13,665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8,379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8,238</w:t>
            </w:r>
          </w:p>
        </w:tc>
      </w:tr>
      <w:tr>
        <w:trPr>
          <w:trHeight w:val="20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Merger and conversion related expenses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49,331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13,349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73,768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59,955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53,906</w:t>
            </w:r>
          </w:p>
        </w:tc>
      </w:tr>
      <w:tr>
        <w:trPr>
          <w:trHeight w:val="197"/>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noninterest expense</w:t>
            </w: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651,660</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461,618</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439,622</w:t>
            </w:r>
          </w:p>
        </w:tc>
      </w:tr>
      <w:tr>
        <w:trPr>
          <w:trHeight w:val="183"/>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320" w:type="dxa"/>
            <w:vAlign w:val="bottom"/>
          </w:tcPr>
          <w:p>
            <w:pPr>
              <w:spacing w:after="0"/>
              <w:rPr>
                <w:sz w:val="15"/>
                <w:szCs w:val="15"/>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226,732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244,965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177,187</w:t>
            </w:r>
          </w:p>
        </w:tc>
      </w:tr>
      <w:tr>
        <w:trPr>
          <w:trHeight w:val="20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taxes</w:t>
            </w: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45,460</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49,508</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32,509</w:t>
            </w:r>
          </w:p>
        </w:tc>
      </w:tr>
      <w:tr>
        <w:trPr>
          <w:trHeight w:val="184"/>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181,272</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195,457</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144,678</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7"/>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Basic earnings per share</w:t>
            </w:r>
          </w:p>
        </w:tc>
        <w:tc>
          <w:tcPr>
            <w:tcW w:w="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3.29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r>
      <w:tr>
        <w:trPr>
          <w:trHeight w:val="185"/>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Diluted earnings per share</w:t>
            </w: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2.07</w:t>
            </w:r>
          </w:p>
        </w:tc>
        <w:tc>
          <w:tcPr>
            <w:tcW w:w="42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3.27</w:t>
            </w:r>
          </w:p>
        </w:tc>
        <w:tc>
          <w:tcPr>
            <w:tcW w:w="100" w:type="dxa"/>
            <w:vAlign w:val="bottom"/>
          </w:tcPr>
          <w:p>
            <w:pPr>
              <w:spacing w:after="0"/>
              <w:rPr>
                <w:sz w:val="16"/>
                <w:szCs w:val="16"/>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w:t>
            </w:r>
          </w:p>
        </w:tc>
      </w:tr>
    </w:tbl>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See Notes to Consolidated Financial Statements.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67945</wp:posOffset>
            </wp:positionV>
            <wp:extent cx="716089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40" w:top="678" w:right="359" w:bottom="1440" w:gutter="0" w:footer="0" w:header="0"/>
        </w:sectPr>
      </w:pPr>
    </w:p>
    <w:bookmarkStart w:id="73" w:name="page74"/>
    <w:bookmarkEnd w:id="73"/>
    <w:p>
      <w:pPr>
        <w:jc w:val="center"/>
        <w:ind w:right="-19"/>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4"/>
        </w:trPr>
        <w:tc>
          <w:tcPr>
            <w:tcW w:w="6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144,678</w:t>
            </w:r>
          </w:p>
        </w:tc>
      </w:tr>
      <w:tr>
        <w:trPr>
          <w:trHeight w:val="224"/>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4"/>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4"/>
        </w:trPr>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Unrealized holding gains on securities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15,128</w:t>
            </w:r>
          </w:p>
        </w:tc>
      </w:tr>
      <w:tr>
        <w:trPr>
          <w:trHeight w:val="224"/>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Reclassification adjustment for losses realized in net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31,063</w:t>
            </w:r>
          </w:p>
        </w:tc>
      </w:tr>
      <w:tr>
        <w:trPr>
          <w:trHeight w:val="171"/>
        </w:trPr>
        <w:tc>
          <w:tcPr>
            <w:tcW w:w="6700" w:type="dxa"/>
            <w:vAlign w:val="bottom"/>
          </w:tcPr>
          <w:p>
            <w:pPr>
              <w:ind w:left="340"/>
              <w:spacing w:after="0" w:line="171" w:lineRule="exact"/>
              <w:rPr>
                <w:sz w:val="20"/>
                <w:szCs w:val="20"/>
                <w:color w:val="auto"/>
              </w:rPr>
            </w:pPr>
            <w:r>
              <w:rPr>
                <w:rFonts w:ascii="Times New Roman" w:cs="Times New Roman" w:eastAsia="Times New Roman" w:hAnsi="Times New Roman"/>
                <w:sz w:val="18"/>
                <w:szCs w:val="18"/>
                <w:color w:val="auto"/>
                <w:w w:val="98"/>
              </w:rPr>
              <w:t>Amortization of unrealized holding losses on securities transferred to the held to maturity</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37"/>
        </w:trPr>
        <w:tc>
          <w:tcPr>
            <w:tcW w:w="6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category</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8,610</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9,476</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10,091</w:t>
            </w:r>
          </w:p>
        </w:tc>
      </w:tr>
      <w:tr>
        <w:trPr>
          <w:trHeight w:val="217"/>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securities available for sale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56,282</w:t>
            </w:r>
          </w:p>
        </w:tc>
      </w:tr>
      <w:tr>
        <w:trPr>
          <w:trHeight w:val="224"/>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4"/>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holding losses on derivative instruments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w:t>
            </w:r>
          </w:p>
        </w:tc>
      </w:tr>
      <w:tr>
        <w:trPr>
          <w:trHeight w:val="224"/>
        </w:trPr>
        <w:tc>
          <w:tcPr>
            <w:tcW w:w="6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Amounts reclassified into earnings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2,619</w:t>
            </w:r>
          </w:p>
        </w:tc>
      </w:tr>
      <w:tr>
        <w:trPr>
          <w:trHeight w:val="217"/>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derivative instruments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w:t>
            </w:r>
          </w:p>
        </w:tc>
      </w:tr>
      <w:tr>
        <w:trPr>
          <w:trHeight w:val="224"/>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Defined benefit pension and post-retirement benefit plans: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4"/>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gain arising during the period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4"/>
        </w:trPr>
        <w:tc>
          <w:tcPr>
            <w:tcW w:w="6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Amortization of net actuarial loss recognized in net periodic pension cost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17"/>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defined benefit pension and post-retirement benefit plans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17"/>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52,876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54,781</w:t>
            </w:r>
          </w:p>
        </w:tc>
      </w:tr>
      <w:tr>
        <w:trPr>
          <w:trHeight w:val="242"/>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234,148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207,105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199,459</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71" w:right="359" w:bottom="1440" w:gutter="0" w:footer="0" w:header="0"/>
        </w:sectPr>
      </w:pPr>
    </w:p>
    <w:bookmarkStart w:id="74" w:name="page75"/>
    <w:bookmarkEnd w:id="74"/>
    <w:p>
      <w:pPr>
        <w:jc w:val="center"/>
        <w:ind w:right="-19"/>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Statements of Changes in Shareholders’ Equity</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920" w:type="dxa"/>
            <w:vAlign w:val="bottom"/>
          </w:tcPr>
          <w:p>
            <w:pPr>
              <w:spacing w:after="0"/>
              <w:rPr>
                <w:sz w:val="16"/>
                <w:szCs w:val="16"/>
                <w:color w:val="auto"/>
              </w:rPr>
            </w:pPr>
          </w:p>
        </w:tc>
        <w:tc>
          <w:tcPr>
            <w:tcW w:w="230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29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160" w:type="dxa"/>
            <w:vAlign w:val="bottom"/>
          </w:tcPr>
          <w:p>
            <w:pPr>
              <w:spacing w:after="0"/>
              <w:rPr>
                <w:sz w:val="2"/>
                <w:szCs w:val="2"/>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80" w:type="dxa"/>
            <w:vAlign w:val="bottom"/>
            <w:gridSpan w:val="3"/>
            <w:vMerge w:val="continue"/>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2920" w:type="dxa"/>
            <w:vAlign w:val="bottom"/>
          </w:tcPr>
          <w:p>
            <w:pPr>
              <w:spacing w:after="0"/>
              <w:rPr>
                <w:sz w:val="12"/>
                <w:szCs w:val="12"/>
                <w:color w:val="auto"/>
              </w:rPr>
            </w:pPr>
          </w:p>
        </w:tc>
        <w:tc>
          <w:tcPr>
            <w:tcW w:w="11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2"/>
                <w:szCs w:val="12"/>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1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3"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220" w:type="dxa"/>
            <w:vAlign w:val="bottom"/>
          </w:tcPr>
          <w:p>
            <w:pPr>
              <w:spacing w:after="0"/>
              <w:rPr>
                <w:sz w:val="12"/>
                <w:szCs w:val="12"/>
                <w:color w:val="auto"/>
              </w:rPr>
            </w:pPr>
          </w:p>
        </w:tc>
        <w:tc>
          <w:tcPr>
            <w:tcW w:w="840" w:type="dxa"/>
            <w:vAlign w:val="bottom"/>
            <w:vMerge w:val="restart"/>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9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60" w:type="dxa"/>
            <w:vAlign w:val="bottom"/>
          </w:tcPr>
          <w:p>
            <w:pPr>
              <w:spacing w:after="0"/>
              <w:rPr>
                <w:sz w:val="16"/>
                <w:szCs w:val="16"/>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January 1, 2023</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55,953,104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296,483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(111,577)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1,302,422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857,725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(209,037)</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2,136,016</w:t>
            </w:r>
          </w:p>
        </w:tc>
        <w:tc>
          <w:tcPr>
            <w:tcW w:w="0" w:type="dxa"/>
            <w:vAlign w:val="bottom"/>
          </w:tcPr>
          <w:p>
            <w:pPr>
              <w:spacing w:after="0"/>
              <w:rPr>
                <w:sz w:val="1"/>
                <w:szCs w:val="1"/>
                <w:color w:val="auto"/>
              </w:rPr>
            </w:pPr>
          </w:p>
        </w:tc>
      </w:tr>
      <w:tr>
        <w:trPr>
          <w:trHeight w:val="209"/>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144,678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144,678</w:t>
            </w:r>
          </w:p>
        </w:tc>
        <w:tc>
          <w:tcPr>
            <w:tcW w:w="0" w:type="dxa"/>
            <w:vAlign w:val="bottom"/>
          </w:tcPr>
          <w:p>
            <w:pPr>
              <w:spacing w:after="0"/>
              <w:rPr>
                <w:sz w:val="1"/>
                <w:szCs w:val="1"/>
                <w:color w:val="auto"/>
              </w:rPr>
            </w:pPr>
          </w:p>
        </w:tc>
      </w:tr>
      <w:tr>
        <w:trPr>
          <w:trHeight w:val="212"/>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54,781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54,781</w:t>
            </w:r>
          </w:p>
        </w:tc>
        <w:tc>
          <w:tcPr>
            <w:tcW w:w="0" w:type="dxa"/>
            <w:vAlign w:val="bottom"/>
          </w:tcPr>
          <w:p>
            <w:pPr>
              <w:spacing w:after="0"/>
              <w:rPr>
                <w:sz w:val="1"/>
                <w:szCs w:val="1"/>
                <w:color w:val="auto"/>
              </w:rPr>
            </w:pPr>
          </w:p>
        </w:tc>
      </w:tr>
      <w:tr>
        <w:trPr>
          <w:trHeight w:val="202"/>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199,459</w:t>
            </w:r>
          </w:p>
        </w:tc>
        <w:tc>
          <w:tcPr>
            <w:tcW w:w="0" w:type="dxa"/>
            <w:vAlign w:val="bottom"/>
          </w:tcPr>
          <w:p>
            <w:pPr>
              <w:spacing w:after="0"/>
              <w:rPr>
                <w:sz w:val="1"/>
                <w:szCs w:val="1"/>
                <w:color w:val="auto"/>
              </w:rPr>
            </w:pPr>
          </w:p>
        </w:tc>
      </w:tr>
      <w:tr>
        <w:trPr>
          <w:trHeight w:val="212"/>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dividends ($0.88 per share)</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(50,279)</w:t>
            </w:r>
          </w:p>
        </w:tc>
        <w:tc>
          <w:tcPr>
            <w:tcW w:w="0" w:type="dxa"/>
            <w:vAlign w:val="bottom"/>
          </w:tcPr>
          <w:p>
            <w:pPr>
              <w:spacing w:after="0"/>
              <w:rPr>
                <w:sz w:val="1"/>
                <w:szCs w:val="1"/>
                <w:color w:val="auto"/>
              </w:rPr>
            </w:pPr>
          </w:p>
        </w:tc>
      </w:tr>
      <w:tr>
        <w:trPr>
          <w:trHeight w:val="158"/>
        </w:trPr>
        <w:tc>
          <w:tcPr>
            <w:tcW w:w="292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Issuance of common stock for stock-based</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189,103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6,328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(7,857)</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13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(1,529)</w:t>
            </w:r>
          </w:p>
        </w:tc>
        <w:tc>
          <w:tcPr>
            <w:tcW w:w="0" w:type="dxa"/>
            <w:vAlign w:val="bottom"/>
          </w:tcPr>
          <w:p>
            <w:pPr>
              <w:spacing w:after="0"/>
              <w:rPr>
                <w:sz w:val="1"/>
                <w:szCs w:val="1"/>
                <w:color w:val="auto"/>
              </w:rPr>
            </w:pPr>
          </w:p>
        </w:tc>
      </w:tr>
      <w:tr>
        <w:trPr>
          <w:trHeight w:val="209"/>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compensation awards</w:t>
            </w: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13,716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13,716</w:t>
            </w:r>
          </w:p>
        </w:tc>
        <w:tc>
          <w:tcPr>
            <w:tcW w:w="0" w:type="dxa"/>
            <w:vAlign w:val="bottom"/>
          </w:tcPr>
          <w:p>
            <w:pPr>
              <w:spacing w:after="0"/>
              <w:rPr>
                <w:sz w:val="1"/>
                <w:szCs w:val="1"/>
                <w:color w:val="auto"/>
              </w:rPr>
            </w:pPr>
          </w:p>
        </w:tc>
      </w:tr>
      <w:tr>
        <w:trPr>
          <w:trHeight w:val="177"/>
        </w:trPr>
        <w:tc>
          <w:tcPr>
            <w:tcW w:w="2920" w:type="dxa"/>
            <w:vAlign w:val="bottom"/>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1060" w:type="dxa"/>
            <w:vAlign w:val="bottom"/>
            <w:tcBorders>
              <w:top w:val="single" w:sz="8" w:color="auto"/>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56,142,207</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1"/>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ind w:right="1"/>
              <w:spacing w:after="0" w:line="178" w:lineRule="exact"/>
              <w:rPr>
                <w:sz w:val="20"/>
                <w:szCs w:val="20"/>
                <w:color w:val="auto"/>
              </w:rPr>
            </w:pPr>
            <w:r>
              <w:rPr>
                <w:rFonts w:ascii="Times New Roman" w:cs="Times New Roman" w:eastAsia="Times New Roman" w:hAnsi="Times New Roman"/>
                <w:sz w:val="16"/>
                <w:szCs w:val="16"/>
                <w:color w:val="auto"/>
              </w:rPr>
              <w:t>296,483</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3"/>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(105,249)</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ind w:left="20"/>
              <w:spacing w:after="0" w:line="178"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1,308,281</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ind w:right="2"/>
              <w:spacing w:after="0" w:line="178" w:lineRule="exact"/>
              <w:rPr>
                <w:sz w:val="20"/>
                <w:szCs w:val="20"/>
                <w:color w:val="auto"/>
              </w:rPr>
            </w:pPr>
            <w:r>
              <w:rPr>
                <w:rFonts w:ascii="Times New Roman" w:cs="Times New Roman" w:eastAsia="Times New Roman" w:hAnsi="Times New Roman"/>
                <w:sz w:val="16"/>
                <w:szCs w:val="16"/>
                <w:color w:val="auto"/>
              </w:rPr>
              <w:t>952,124</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(154,256)</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1"/>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2,297,383</w:t>
            </w:r>
          </w:p>
        </w:tc>
        <w:tc>
          <w:tcPr>
            <w:tcW w:w="0" w:type="dxa"/>
            <w:vAlign w:val="bottom"/>
          </w:tcPr>
          <w:p>
            <w:pPr>
              <w:spacing w:after="0"/>
              <w:rPr>
                <w:sz w:val="1"/>
                <w:szCs w:val="1"/>
                <w:color w:val="auto"/>
              </w:rPr>
            </w:pPr>
          </w:p>
        </w:tc>
      </w:tr>
      <w:tr>
        <w:trPr>
          <w:trHeight w:val="20"/>
        </w:trPr>
        <w:tc>
          <w:tcPr>
            <w:tcW w:w="29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195,457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195,457</w:t>
            </w:r>
          </w:p>
        </w:tc>
        <w:tc>
          <w:tcPr>
            <w:tcW w:w="0" w:type="dxa"/>
            <w:vAlign w:val="bottom"/>
          </w:tcPr>
          <w:p>
            <w:pPr>
              <w:spacing w:after="0"/>
              <w:rPr>
                <w:sz w:val="1"/>
                <w:szCs w:val="1"/>
                <w:color w:val="auto"/>
              </w:rPr>
            </w:pPr>
          </w:p>
        </w:tc>
      </w:tr>
      <w:tr>
        <w:trPr>
          <w:trHeight w:val="209"/>
        </w:trPr>
        <w:tc>
          <w:tcPr>
            <w:tcW w:w="2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6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11,648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11,648</w:t>
            </w:r>
          </w:p>
        </w:tc>
        <w:tc>
          <w:tcPr>
            <w:tcW w:w="0" w:type="dxa"/>
            <w:vAlign w:val="bottom"/>
          </w:tcPr>
          <w:p>
            <w:pPr>
              <w:spacing w:after="0"/>
              <w:rPr>
                <w:sz w:val="1"/>
                <w:szCs w:val="1"/>
                <w:color w:val="auto"/>
              </w:rPr>
            </w:pPr>
          </w:p>
        </w:tc>
      </w:tr>
      <w:tr>
        <w:trPr>
          <w:trHeight w:val="20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207,105</w:t>
            </w:r>
          </w:p>
        </w:tc>
        <w:tc>
          <w:tcPr>
            <w:tcW w:w="0" w:type="dxa"/>
            <w:vAlign w:val="bottom"/>
          </w:tcPr>
          <w:p>
            <w:pPr>
              <w:spacing w:after="0"/>
              <w:rPr>
                <w:sz w:val="1"/>
                <w:szCs w:val="1"/>
                <w:color w:val="auto"/>
              </w:rPr>
            </w:pPr>
          </w:p>
        </w:tc>
      </w:tr>
      <w:tr>
        <w:trPr>
          <w:trHeight w:val="209"/>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Cash dividends ($0.88 per share)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(53,727)</w:t>
            </w:r>
          </w:p>
        </w:tc>
        <w:tc>
          <w:tcPr>
            <w:tcW w:w="0" w:type="dxa"/>
            <w:vAlign w:val="bottom"/>
          </w:tcPr>
          <w:p>
            <w:pPr>
              <w:spacing w:after="0"/>
              <w:rPr>
                <w:sz w:val="1"/>
                <w:szCs w:val="1"/>
                <w:color w:val="auto"/>
              </w:rPr>
            </w:pPr>
          </w:p>
        </w:tc>
      </w:tr>
      <w:tr>
        <w:trPr>
          <w:trHeight w:val="212"/>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 issued in public offering</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7,187,500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35,938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181,062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217,000</w:t>
            </w:r>
          </w:p>
        </w:tc>
        <w:tc>
          <w:tcPr>
            <w:tcW w:w="0" w:type="dxa"/>
            <w:vAlign w:val="bottom"/>
          </w:tcPr>
          <w:p>
            <w:pPr>
              <w:spacing w:after="0"/>
              <w:rPr>
                <w:sz w:val="1"/>
                <w:szCs w:val="1"/>
                <w:color w:val="auto"/>
              </w:rPr>
            </w:pPr>
          </w:p>
        </w:tc>
      </w:tr>
      <w:tr>
        <w:trPr>
          <w:trHeight w:val="158"/>
        </w:trPr>
        <w:tc>
          <w:tcPr>
            <w:tcW w:w="292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Issuance of common stock for stock-based</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235,983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8,053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(11,379)</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13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(3,326)</w:t>
            </w:r>
          </w:p>
        </w:tc>
        <w:tc>
          <w:tcPr>
            <w:tcW w:w="0" w:type="dxa"/>
            <w:vAlign w:val="bottom"/>
          </w:tcPr>
          <w:p>
            <w:pPr>
              <w:spacing w:after="0"/>
              <w:rPr>
                <w:sz w:val="1"/>
                <w:szCs w:val="1"/>
                <w:color w:val="auto"/>
              </w:rPr>
            </w:pPr>
          </w:p>
        </w:tc>
      </w:tr>
      <w:tr>
        <w:trPr>
          <w:trHeight w:val="209"/>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compensation awards</w:t>
            </w: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13,883</w:t>
            </w:r>
          </w:p>
        </w:tc>
        <w:tc>
          <w:tcPr>
            <w:tcW w:w="0" w:type="dxa"/>
            <w:vAlign w:val="bottom"/>
          </w:tcPr>
          <w:p>
            <w:pPr>
              <w:spacing w:after="0"/>
              <w:rPr>
                <w:sz w:val="1"/>
                <w:szCs w:val="1"/>
                <w:color w:val="auto"/>
              </w:rPr>
            </w:pPr>
          </w:p>
        </w:tc>
      </w:tr>
      <w:tr>
        <w:trPr>
          <w:trHeight w:val="177"/>
        </w:trPr>
        <w:tc>
          <w:tcPr>
            <w:tcW w:w="2920" w:type="dxa"/>
            <w:vAlign w:val="bottom"/>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1060" w:type="dxa"/>
            <w:vAlign w:val="bottom"/>
            <w:tcBorders>
              <w:top w:val="single" w:sz="8" w:color="auto"/>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63,565,690</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1"/>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ind w:right="1"/>
              <w:spacing w:after="0" w:line="178" w:lineRule="exact"/>
              <w:rPr>
                <w:sz w:val="20"/>
                <w:szCs w:val="20"/>
                <w:color w:val="auto"/>
              </w:rPr>
            </w:pPr>
            <w:r>
              <w:rPr>
                <w:rFonts w:ascii="Times New Roman" w:cs="Times New Roman" w:eastAsia="Times New Roman" w:hAnsi="Times New Roman"/>
                <w:sz w:val="16"/>
                <w:szCs w:val="16"/>
                <w:color w:val="auto"/>
              </w:rPr>
              <w:t>332,421</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3"/>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(97,196)</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ind w:left="20"/>
              <w:spacing w:after="0" w:line="178"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1,491,847</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ind w:right="2"/>
              <w:spacing w:after="0" w:line="178" w:lineRule="exact"/>
              <w:rPr>
                <w:sz w:val="20"/>
                <w:szCs w:val="20"/>
                <w:color w:val="auto"/>
              </w:rPr>
            </w:pPr>
            <w:r>
              <w:rPr>
                <w:rFonts w:ascii="Times New Roman" w:cs="Times New Roman" w:eastAsia="Times New Roman" w:hAnsi="Times New Roman"/>
                <w:sz w:val="16"/>
                <w:szCs w:val="16"/>
                <w:color w:val="auto"/>
              </w:rPr>
              <w:t>1,093,854</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(142,608)</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1"/>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2,678,318</w:t>
            </w:r>
          </w:p>
        </w:tc>
        <w:tc>
          <w:tcPr>
            <w:tcW w:w="0" w:type="dxa"/>
            <w:vAlign w:val="bottom"/>
          </w:tcPr>
          <w:p>
            <w:pPr>
              <w:spacing w:after="0"/>
              <w:rPr>
                <w:sz w:val="1"/>
                <w:szCs w:val="1"/>
                <w:color w:val="auto"/>
              </w:rPr>
            </w:pPr>
          </w:p>
        </w:tc>
      </w:tr>
      <w:tr>
        <w:trPr>
          <w:trHeight w:val="20"/>
        </w:trPr>
        <w:tc>
          <w:tcPr>
            <w:tcW w:w="29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181,272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181,272</w:t>
            </w:r>
          </w:p>
        </w:tc>
        <w:tc>
          <w:tcPr>
            <w:tcW w:w="0" w:type="dxa"/>
            <w:vAlign w:val="bottom"/>
          </w:tcPr>
          <w:p>
            <w:pPr>
              <w:spacing w:after="0"/>
              <w:rPr>
                <w:sz w:val="1"/>
                <w:szCs w:val="1"/>
                <w:color w:val="auto"/>
              </w:rPr>
            </w:pPr>
          </w:p>
        </w:tc>
      </w:tr>
      <w:tr>
        <w:trPr>
          <w:trHeight w:val="209"/>
        </w:trPr>
        <w:tc>
          <w:tcPr>
            <w:tcW w:w="2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6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52,876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52,876</w:t>
            </w:r>
          </w:p>
        </w:tc>
        <w:tc>
          <w:tcPr>
            <w:tcW w:w="0" w:type="dxa"/>
            <w:vAlign w:val="bottom"/>
          </w:tcPr>
          <w:p>
            <w:pPr>
              <w:spacing w:after="0"/>
              <w:rPr>
                <w:sz w:val="1"/>
                <w:szCs w:val="1"/>
                <w:color w:val="auto"/>
              </w:rPr>
            </w:pPr>
          </w:p>
        </w:tc>
      </w:tr>
      <w:tr>
        <w:trPr>
          <w:trHeight w:val="20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234,148</w:t>
            </w:r>
          </w:p>
        </w:tc>
        <w:tc>
          <w:tcPr>
            <w:tcW w:w="0" w:type="dxa"/>
            <w:vAlign w:val="bottom"/>
          </w:tcPr>
          <w:p>
            <w:pPr>
              <w:spacing w:after="0"/>
              <w:rPr>
                <w:sz w:val="1"/>
                <w:szCs w:val="1"/>
                <w:color w:val="auto"/>
              </w:rPr>
            </w:pPr>
          </w:p>
        </w:tc>
      </w:tr>
      <w:tr>
        <w:trPr>
          <w:trHeight w:val="158"/>
        </w:trPr>
        <w:tc>
          <w:tcPr>
            <w:tcW w:w="292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Repurchase of shares in connection with</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(388,940)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(13,336)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13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(13,336)</w:t>
            </w:r>
          </w:p>
        </w:tc>
        <w:tc>
          <w:tcPr>
            <w:tcW w:w="0" w:type="dxa"/>
            <w:vAlign w:val="bottom"/>
          </w:tcPr>
          <w:p>
            <w:pPr>
              <w:spacing w:after="0"/>
              <w:rPr>
                <w:sz w:val="1"/>
                <w:szCs w:val="1"/>
                <w:color w:val="auto"/>
              </w:rPr>
            </w:pPr>
          </w:p>
        </w:tc>
      </w:tr>
      <w:tr>
        <w:trPr>
          <w:trHeight w:val="209"/>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stock repurchase program</w:t>
            </w: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dividends ($0.89 per share)</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(78,604)</w:t>
            </w:r>
          </w:p>
        </w:tc>
        <w:tc>
          <w:tcPr>
            <w:tcW w:w="0" w:type="dxa"/>
            <w:vAlign w:val="bottom"/>
          </w:tcPr>
          <w:p>
            <w:pPr>
              <w:spacing w:after="0"/>
              <w:rPr>
                <w:sz w:val="1"/>
                <w:szCs w:val="1"/>
                <w:color w:val="auto"/>
              </w:rPr>
            </w:pPr>
          </w:p>
        </w:tc>
      </w:tr>
      <w:tr>
        <w:trPr>
          <w:trHeight w:val="158"/>
        </w:trPr>
        <w:tc>
          <w:tcPr>
            <w:tcW w:w="292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Common stock issued in connection with an</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31,238,172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156,191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894,630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13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1,050,821</w:t>
            </w:r>
          </w:p>
        </w:tc>
        <w:tc>
          <w:tcPr>
            <w:tcW w:w="0" w:type="dxa"/>
            <w:vAlign w:val="bottom"/>
          </w:tcPr>
          <w:p>
            <w:pPr>
              <w:spacing w:after="0"/>
              <w:rPr>
                <w:sz w:val="1"/>
                <w:szCs w:val="1"/>
                <w:color w:val="auto"/>
              </w:rPr>
            </w:pPr>
          </w:p>
        </w:tc>
      </w:tr>
      <w:tr>
        <w:trPr>
          <w:trHeight w:val="209"/>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acquisition</w:t>
            </w: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920" w:type="dxa"/>
            <w:vAlign w:val="bottom"/>
            <w:shd w:val="clear" w:color="auto" w:fill="CCEEFF"/>
          </w:tcPr>
          <w:p>
            <w:pPr>
              <w:spacing w:after="0" w:line="160" w:lineRule="exact"/>
              <w:rPr>
                <w:sz w:val="20"/>
                <w:szCs w:val="20"/>
                <w:color w:val="auto"/>
              </w:rPr>
            </w:pPr>
            <w:r>
              <w:rPr>
                <w:rFonts w:ascii="Times New Roman" w:cs="Times New Roman" w:eastAsia="Times New Roman" w:hAnsi="Times New Roman"/>
                <w:sz w:val="16"/>
                <w:szCs w:val="16"/>
                <w:color w:val="auto"/>
              </w:rPr>
              <w:t>Issuance of common stock for stock-based</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221,285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7,038</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(11,203)</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3"/>
                <w:szCs w:val="13"/>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(4,165)</w:t>
            </w:r>
          </w:p>
        </w:tc>
        <w:tc>
          <w:tcPr>
            <w:tcW w:w="0" w:type="dxa"/>
            <w:vAlign w:val="bottom"/>
          </w:tcPr>
          <w:p>
            <w:pPr>
              <w:spacing w:after="0"/>
              <w:rPr>
                <w:sz w:val="1"/>
                <w:szCs w:val="1"/>
                <w:color w:val="auto"/>
              </w:rPr>
            </w:pPr>
          </w:p>
        </w:tc>
      </w:tr>
      <w:tr>
        <w:trPr>
          <w:trHeight w:val="211"/>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compensation awards</w:t>
            </w: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17,723</w:t>
            </w:r>
          </w:p>
        </w:tc>
        <w:tc>
          <w:tcPr>
            <w:tcW w:w="0" w:type="dxa"/>
            <w:vAlign w:val="bottom"/>
          </w:tcPr>
          <w:p>
            <w:pPr>
              <w:spacing w:after="0"/>
              <w:rPr>
                <w:sz w:val="1"/>
                <w:szCs w:val="1"/>
                <w:color w:val="auto"/>
              </w:rPr>
            </w:pPr>
          </w:p>
        </w:tc>
      </w:tr>
      <w:tr>
        <w:trPr>
          <w:trHeight w:val="231"/>
        </w:trPr>
        <w:tc>
          <w:tcPr>
            <w:tcW w:w="2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2025</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94,636,207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488,612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2,392,997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1,196,522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(89,732)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3,884,905</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71" w:right="359" w:bottom="1440" w:gutter="0" w:footer="0" w:header="0"/>
        </w:sectPr>
      </w:pPr>
    </w:p>
    <w:bookmarkStart w:id="75" w:name="page76"/>
    <w:bookmarkEnd w:id="75"/>
    <w:p>
      <w:pPr>
        <w:ind w:left="4260"/>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20" w:type="dxa"/>
            <w:vAlign w:val="bottom"/>
            <w:tcBorders>
              <w:bottom w:val="single" w:sz="8" w:color="CCEEFF"/>
            </w:tcBorders>
          </w:tcPr>
          <w:p>
            <w:pPr>
              <w:spacing w:after="0"/>
              <w:rPr>
                <w:sz w:val="17"/>
                <w:szCs w:val="17"/>
                <w:color w:val="auto"/>
              </w:rPr>
            </w:pPr>
          </w:p>
        </w:tc>
        <w:tc>
          <w:tcPr>
            <w:tcW w:w="35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35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58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181,272</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195,457</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144,678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3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107,457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9,273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3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16,212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32,284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income tax (benefit)</w:t>
            </w:r>
          </w:p>
        </w:tc>
        <w:tc>
          <w:tcPr>
            <w:tcW w:w="3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1,687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4,649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Impairment losses on securities</w:t>
            </w:r>
          </w:p>
        </w:tc>
        <w:tc>
          <w:tcPr>
            <w:tcW w:w="3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1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Gain on sale of mortgage servicing rights</w:t>
            </w:r>
          </w:p>
        </w:tc>
        <w:tc>
          <w:tcPr>
            <w:tcW w:w="3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Gain on sale of insurance agency</w:t>
            </w:r>
          </w:p>
        </w:tc>
        <w:tc>
          <w:tcPr>
            <w:tcW w:w="3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Funding of mortgage loans held for sale</w:t>
            </w:r>
          </w:p>
        </w:tc>
        <w:tc>
          <w:tcPr>
            <w:tcW w:w="3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(1,612,645)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(1,400,467)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(1,330,912)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sales of mortgage loans held for sale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1,616,372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1,347,659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1,277,363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Gains on sales of mortgage loans held for sale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(20,329)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Losses on sales of securities</w:t>
            </w:r>
          </w:p>
        </w:tc>
        <w:tc>
          <w:tcPr>
            <w:tcW w:w="3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Gain on debt extinguishment</w:t>
            </w:r>
          </w:p>
        </w:tc>
        <w:tc>
          <w:tcPr>
            <w:tcW w:w="3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(Gains) losses on sales of premises and equipment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Stock-based compensation</w:t>
            </w:r>
          </w:p>
        </w:tc>
        <w:tc>
          <w:tcPr>
            <w:tcW w:w="3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17,723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13,883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Income from bank-owned life insurance</w:t>
            </w:r>
          </w:p>
        </w:tc>
        <w:tc>
          <w:tcPr>
            <w:tcW w:w="3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change in operating leases</w:t>
            </w:r>
          </w:p>
        </w:tc>
        <w:tc>
          <w:tcPr>
            <w:tcW w:w="3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9,816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6,337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increase in other assets</w:t>
            </w:r>
          </w:p>
        </w:tc>
        <w:tc>
          <w:tcPr>
            <w:tcW w:w="3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Net (decrease) increase in other liabilities</w:t>
            </w:r>
          </w:p>
        </w:tc>
        <w:tc>
          <w:tcPr>
            <w:tcW w:w="35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(7,854)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7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271,471</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106,415</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148,553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3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securities available for sale</w:t>
            </w:r>
          </w:p>
        </w:tc>
        <w:tc>
          <w:tcPr>
            <w:tcW w:w="3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(1,201,061)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(174,229)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Proceeds from sales of securities available for sale</w:t>
            </w: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686,485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177,185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488,981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call/maturities of securities available for sale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311,310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88,830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Proceeds from call/maturities of securities held to maturity</w:t>
            </w:r>
          </w:p>
        </w:tc>
        <w:tc>
          <w:tcPr>
            <w:tcW w:w="320" w:type="dxa"/>
            <w:vAlign w:val="bottom"/>
          </w:tcPr>
          <w:p>
            <w:pPr>
              <w:spacing w:after="0"/>
              <w:rPr>
                <w:sz w:val="17"/>
                <w:szCs w:val="17"/>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102,009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102,178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109,953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 of mortgage servicing rights</w:t>
            </w:r>
          </w:p>
        </w:tc>
        <w:tc>
          <w:tcPr>
            <w:tcW w:w="3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9,353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23,011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in loans</w:t>
            </w:r>
          </w:p>
        </w:tc>
        <w:tc>
          <w:tcPr>
            <w:tcW w:w="3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(957,067)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(543,495)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(791,803)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premises and equipment</w:t>
            </w:r>
          </w:p>
        </w:tc>
        <w:tc>
          <w:tcPr>
            <w:tcW w:w="3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(13,645)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sales of premises and equipment</w:t>
            </w:r>
          </w:p>
        </w:tc>
        <w:tc>
          <w:tcPr>
            <w:tcW w:w="3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8,642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Net cash received from sale of insurance agency</w:t>
            </w:r>
          </w:p>
        </w:tc>
        <w:tc>
          <w:tcPr>
            <w:tcW w:w="3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6,412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55,333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FHLB stock</w:t>
            </w:r>
          </w:p>
        </w:tc>
        <w:tc>
          <w:tcPr>
            <w:tcW w:w="3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redemption of FHLB stock</w:t>
            </w:r>
          </w:p>
        </w:tc>
        <w:tc>
          <w:tcPr>
            <w:tcW w:w="3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19,781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7,944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sales of other assets</w:t>
            </w:r>
          </w:p>
        </w:tc>
        <w:tc>
          <w:tcPr>
            <w:tcW w:w="3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18,660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3,350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surrender of bank-owned life insurance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56,255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received in acquisition of businesses</w:t>
            </w:r>
          </w:p>
        </w:tc>
        <w:tc>
          <w:tcPr>
            <w:tcW w:w="3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261,483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35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3,859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1,313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35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(734,025)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(275,030)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35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in deposits</w:t>
            </w:r>
          </w:p>
        </w:tc>
        <w:tc>
          <w:tcPr>
            <w:tcW w:w="3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443,674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495,827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589,819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8"/>
              </w:rPr>
              <w:t>Net increase (decrease) in short-term borrowings</w:t>
            </w:r>
          </w:p>
        </w:tc>
        <w:tc>
          <w:tcPr>
            <w:tcW w:w="3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149,506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(199,559)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(404,655)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 of long-term debt</w:t>
            </w:r>
          </w:p>
        </w:tc>
        <w:tc>
          <w:tcPr>
            <w:tcW w:w="3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dividends</w:t>
            </w:r>
          </w:p>
        </w:tc>
        <w:tc>
          <w:tcPr>
            <w:tcW w:w="3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(78,604)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(53,727)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Repurchase of shares in connection with stock repurchase program</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(13,336)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equity offering</w:t>
            </w:r>
          </w:p>
        </w:tc>
        <w:tc>
          <w:tcPr>
            <w:tcW w:w="3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217,000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b w:val="1"/>
                <w:bCs w:val="1"/>
                <w:color w:val="auto"/>
                <w:w w:val="99"/>
              </w:rPr>
              <w:t>Net cash provided by financing activities</w:t>
            </w:r>
          </w:p>
        </w:tc>
        <w:tc>
          <w:tcPr>
            <w:tcW w:w="35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441,240</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459,296</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132,205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(decrease) increase in cash and cash equivalents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(21,314)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290,681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225,359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beginning of year</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1,092,032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801,351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575,992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year</w:t>
            </w:r>
          </w:p>
        </w:tc>
        <w:tc>
          <w:tcPr>
            <w:tcW w:w="35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1,070,718</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1,092,032</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801,351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shd w:val="clear" w:color="auto" w:fill="CCEEFF"/>
          </w:tcPr>
          <w:p>
            <w:pPr>
              <w:spacing w:after="0" w:line="20" w:lineRule="exact"/>
              <w:rPr>
                <w:sz w:val="1"/>
                <w:szCs w:val="1"/>
                <w:color w:val="auto"/>
              </w:rPr>
            </w:pPr>
          </w:p>
        </w:tc>
        <w:tc>
          <w:tcPr>
            <w:tcW w:w="35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See Notes to Consolidated Financial Statements.</w:t>
            </w:r>
          </w:p>
        </w:tc>
        <w:tc>
          <w:tcPr>
            <w:tcW w:w="3580" w:type="dxa"/>
            <w:vAlign w:val="bottom"/>
            <w:vMerge w:val="restart"/>
          </w:tcPr>
          <w:p>
            <w:pPr>
              <w:jc w:val="right"/>
              <w:ind w:right="3332"/>
              <w:spacing w:after="0"/>
              <w:rPr>
                <w:sz w:val="20"/>
                <w:szCs w:val="20"/>
                <w:color w:val="auto"/>
              </w:rPr>
            </w:pPr>
            <w:r>
              <w:rPr>
                <w:rFonts w:ascii="Times New Roman" w:cs="Times New Roman" w:eastAsia="Times New Roman" w:hAnsi="Times New Roman"/>
                <w:sz w:val="18"/>
                <w:szCs w:val="18"/>
                <w:color w:val="auto"/>
                <w:w w:val="77"/>
              </w:rPr>
              <w:t>73</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3140" w:type="dxa"/>
            <w:vAlign w:val="bottom"/>
            <w:gridSpan w:val="2"/>
            <w:vMerge w:val="continue"/>
          </w:tcPr>
          <w:p>
            <w:pPr>
              <w:spacing w:after="0"/>
              <w:rPr>
                <w:sz w:val="24"/>
                <w:szCs w:val="24"/>
                <w:color w:val="auto"/>
              </w:rPr>
            </w:pPr>
          </w:p>
        </w:tc>
        <w:tc>
          <w:tcPr>
            <w:tcW w:w="35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2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76" w:name="page77"/>
    <w:bookmarkEnd w:id="76"/>
    <w:p>
      <w:pPr>
        <w:jc w:val="center"/>
        <w:ind w:right="-19"/>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Statements of Cash Flows (continued)</w:t>
      </w:r>
    </w:p>
    <w:p>
      <w:pPr>
        <w:spacing w:after="0" w:line="317"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67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6"/>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95"/>
              </w:rPr>
              <w:t>Year Ended December 31,</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7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67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443,282</w:t>
            </w:r>
          </w:p>
        </w:tc>
        <w:tc>
          <w:tcPr>
            <w:tcW w:w="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381,004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239,611</w:t>
            </w:r>
          </w:p>
        </w:tc>
        <w:tc>
          <w:tcPr>
            <w:tcW w:w="0" w:type="dxa"/>
            <w:vAlign w:val="bottom"/>
          </w:tcPr>
          <w:p>
            <w:pPr>
              <w:spacing w:after="0"/>
              <w:rPr>
                <w:sz w:val="1"/>
                <w:szCs w:val="1"/>
                <w:color w:val="auto"/>
              </w:rPr>
            </w:pPr>
          </w:p>
        </w:tc>
      </w:tr>
      <w:tr>
        <w:trPr>
          <w:trHeight w:val="209"/>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18,363</w:t>
            </w:r>
          </w:p>
        </w:tc>
        <w:tc>
          <w:tcPr>
            <w:tcW w:w="4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29,065</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42,047</w:t>
            </w:r>
          </w:p>
        </w:tc>
        <w:tc>
          <w:tcPr>
            <w:tcW w:w="0" w:type="dxa"/>
            <w:vAlign w:val="bottom"/>
          </w:tcPr>
          <w:p>
            <w:pPr>
              <w:spacing w:after="0"/>
              <w:rPr>
                <w:sz w:val="1"/>
                <w:szCs w:val="1"/>
                <w:color w:val="auto"/>
              </w:rPr>
            </w:pPr>
          </w:p>
        </w:tc>
      </w:tr>
      <w:tr>
        <w:trPr>
          <w:trHeight w:val="212"/>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transactions: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Transfers of loans to other real estate</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14,737</w:t>
            </w:r>
          </w:p>
        </w:tc>
        <w:tc>
          <w:tcPr>
            <w:tcW w:w="4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5,037</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10,738</w:t>
            </w:r>
          </w:p>
        </w:tc>
        <w:tc>
          <w:tcPr>
            <w:tcW w:w="0" w:type="dxa"/>
            <w:vAlign w:val="bottom"/>
          </w:tcPr>
          <w:p>
            <w:pPr>
              <w:spacing w:after="0"/>
              <w:rPr>
                <w:sz w:val="1"/>
                <w:szCs w:val="1"/>
                <w:color w:val="auto"/>
              </w:rPr>
            </w:pPr>
          </w:p>
        </w:tc>
      </w:tr>
      <w:tr>
        <w:trPr>
          <w:trHeight w:val="212"/>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stock issued in acquisition of businesses</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1,050,821</w:t>
            </w:r>
          </w:p>
        </w:tc>
        <w:tc>
          <w:tcPr>
            <w:tcW w:w="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Recognition of operating right-of-use assets and liabilities</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7,312</w:t>
            </w:r>
          </w:p>
        </w:tc>
        <w:tc>
          <w:tcPr>
            <w:tcW w:w="4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4,630</w:t>
            </w:r>
          </w:p>
        </w:tc>
        <w:tc>
          <w:tcPr>
            <w:tcW w:w="100" w:type="dxa"/>
            <w:vAlign w:val="bottom"/>
          </w:tcPr>
          <w:p>
            <w:pPr>
              <w:spacing w:after="0"/>
              <w:rPr>
                <w:sz w:val="17"/>
                <w:szCs w:val="17"/>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3,126</w:t>
            </w:r>
          </w:p>
        </w:tc>
        <w:tc>
          <w:tcPr>
            <w:tcW w:w="0" w:type="dxa"/>
            <w:vAlign w:val="bottom"/>
          </w:tcPr>
          <w:p>
            <w:pPr>
              <w:spacing w:after="0"/>
              <w:rPr>
                <w:sz w:val="1"/>
                <w:szCs w:val="1"/>
                <w:color w:val="auto"/>
              </w:rPr>
            </w:pPr>
          </w:p>
        </w:tc>
      </w:tr>
    </w:tbl>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595" w:right="35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Significant Accounting Policies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p>
      <w:pPr>
        <w:spacing w:after="0" w:line="16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u w:val="single" w:color="auto"/>
          <w:color w:val="auto"/>
        </w:rPr>
        <w:t>Nature of Operations</w:t>
      </w:r>
      <w:r>
        <w:rPr>
          <w:rFonts w:ascii="Times New Roman" w:cs="Times New Roman" w:eastAsia="Times New Roman" w:hAnsi="Times New Roman"/>
          <w:sz w:val="16"/>
          <w:szCs w:val="16"/>
          <w:color w:val="auto"/>
        </w:rPr>
        <w:t>: Renasant Corporation (referred to herein as the “Company”) owns and operates Renasant Bank (“Renasant Bank” or the “Bank”), Renasant Insurance, Inc., Park Place Capital Corporation, Continental Republic Capital, LLC (doing business as “Republic Business Credit”) and Southwest Georgia Insurance Services, Inc. On July 1, 2024, the Bank sold substantially all of the assets of Renasant Insurance, Inc., and on December 31, 2025, the Bank sold substantially all of the assets of Southwest Georgia Insurance Services, Inc. Following theses sales, the relevant entity discontinued its insurance agency operations. Through its subsidiaries, the Company offers a diversified range of financial, wealth management and fiduciary services to its retail and commercial customers from offices located throughout the Southeast, and the Company offers factoring and asset-based lending on a nationwide basis.</w:t>
      </w:r>
    </w:p>
    <w:p>
      <w:pPr>
        <w:spacing w:after="0" w:line="1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u w:val="single" w:color="auto"/>
          <w:color w:val="auto"/>
        </w:rPr>
        <w:t>Use of Estimates</w:t>
      </w:r>
      <w:r>
        <w:rPr>
          <w:rFonts w:ascii="Times New Roman" w:cs="Times New Roman" w:eastAsia="Times New Roman" w:hAnsi="Times New Roman"/>
          <w:sz w:val="18"/>
          <w:szCs w:val="18"/>
          <w:color w:val="auto"/>
        </w:rPr>
        <w:t>: The preparation of financial statements in conformity with accounting principles generally accepted in the United States of America (“GAAP”) requires management to make estimates and assumptions that affect the amounts reported in the financial statements and accompanying notes. Actual results could differ from those estimates. Material estimates that are particularly susceptible to change include the allowance for credit losses and the fair value of assets acquired and liabilities assumed as part of a business acquisition.</w:t>
      </w:r>
    </w:p>
    <w:p>
      <w:pPr>
        <w:spacing w:after="0" w:line="1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u w:val="single" w:color="auto"/>
          <w:color w:val="auto"/>
        </w:rPr>
        <w:t>Consolidation</w:t>
      </w:r>
      <w:r>
        <w:rPr>
          <w:rFonts w:ascii="Times New Roman" w:cs="Times New Roman" w:eastAsia="Times New Roman" w:hAnsi="Times New Roman"/>
          <w:sz w:val="18"/>
          <w:szCs w:val="18"/>
          <w:color w:val="auto"/>
        </w:rPr>
        <w:t>: The accompanying Consolidated Financial Statements and these Notes to Consolidated Financial Statements include the accounts of the Company and its consolidated subsidiaries, all of which are wholly-owned, except for certain non-voting preferred equity issued by the Company’s real estate investment trust subsidiaries. All intercompany balances and transactions have been eliminated. Certain prior year amounts have been reclassified to conform to the current year presentation. Reclassifications had no effect on prior years’ net income or shareholders’ equity.</w:t>
      </w:r>
    </w:p>
    <w:p>
      <w:pPr>
        <w:spacing w:after="0" w:line="1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u w:val="single" w:color="auto"/>
          <w:color w:val="auto"/>
        </w:rPr>
        <w:t>Cash and Cash Equivalents</w:t>
      </w:r>
      <w:r>
        <w:rPr>
          <w:rFonts w:ascii="Times New Roman" w:cs="Times New Roman" w:eastAsia="Times New Roman" w:hAnsi="Times New Roman"/>
          <w:sz w:val="18"/>
          <w:szCs w:val="18"/>
          <w:color w:val="auto"/>
        </w:rPr>
        <w:t>: The Company considers all highly liquid investments with a maturity of three months or less when purchased to be cash equivalents.</w:t>
      </w:r>
    </w:p>
    <w:p>
      <w:pPr>
        <w:spacing w:after="0" w:line="1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Debt securities are classified as held to maturity when purchased if management has the positive intent and ability to hold the securities to maturity. Held to maturity securities are stated at amortized cost. Presently, the Company has no intention of establishing a trading classification. Securities not classified as held to maturity or trading are classified as available for sale. Available for sale securities are stated at fair value, with the unrealized gains and losses, net of tax, reported in accumulated other comprehensive income within shareholders’ equity.</w:t>
      </w:r>
    </w:p>
    <w:p>
      <w:pPr>
        <w:spacing w:after="0" w:line="1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amortized cost of securities, regardless of classification, is adjusted for amortization of premiums and accretion of discounts using the effective interest method. Such amortization and accretion is included in interest income from securities, as is dividend income. Realized gains and losses on sales of securities and impairments are recorded in the line items “Net losses on sales of securities” and “Impairment losses on securities”, respectively, on the Consolidated Statements of Income. The cost of securities sold is based on the specific identification method.</w:t>
      </w:r>
    </w:p>
    <w:p>
      <w:pPr>
        <w:spacing w:after="0" w:line="13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Company evaluates its allowance for credit losses on the held to maturity investment portfolio on a quarterly basis. Expected credit losses on debt securities classified as held to maturity are measured on a collective basis by major security type. The estimates of expected credit losses are based on historical default rates, investment grades, current conditions, and reasonable and supportable forecasts about the future. The allowance is increased through provision for credit losses and decreased by charge-offs, net of recoveries of amounts previously charged-off. All of the residential and commercial mortgage-backed securities recorded as held to maturity are guaranteed by U.S. Government agencies and government-sponsored entities. These securities are either explicitly or implicitly guaranteed by the U.S. government, are highly rated by major rating agencies and have a long history of no credit losses. The state and political subdivision securities are highly rated by major rating agencies.</w:t>
      </w:r>
    </w:p>
    <w:p>
      <w:pPr>
        <w:spacing w:after="0" w:line="13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also evaluates available for sale investment securities in an unrealized loss position on a quarterly basis. If the Company intends to sell the security or it is more likely than not that it will be required to sell before recovery, the entire unrealized loss is recorded as a loss within noninterest income in the Consolidated Statements of Income with a corresponding adjustment to the amortized cost basis of the security. If the Company does not intend to sell the security and it is not more likely than not that it will be required to sell the security before recovery of its amortized cost basis, the Company evaluates if any of the unrealized loss is related to a potential credit loss. The amount, if any, related to credit loss is recognized in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Significant Accounting Policies (continued)</w:t>
      </w:r>
    </w:p>
    <w:p>
      <w:pPr>
        <w:spacing w:after="0" w:line="3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a provision for credit loss and a corresponding allowance for credit losses is established; each is calculated as the difference between the estimate of discounted future cash flows and the amortized cost basis of the security. A number of qualitative and quantitative factors, including the financial condition of the underlying issuer, current and projected deferrals or defaults and credit ratings by nationally recognized statistical rating agencies are considered by management in the estimate of the discounted future cash flows. The remaining difference between the fair value and the amortized cost basis of the security is considered the amount related to other market factors and is recognized in other comprehensive income, net of applicable taxes.</w:t>
      </w:r>
    </w:p>
    <w:p>
      <w:pPr>
        <w:spacing w:after="0" w:line="1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Recognition of interest is discontinued on debt securities that are transferred to nonaccrual status. A number of qualitative factors, including the financial condition of the underlying issuer and current and projected deferrals or defaults, are considered by management in the determination of whether the debt security should be transferred to nonaccrual status. The interest on nonaccrual investment securities is accounted for on the cash-basis method until the debt security qualifies for return to accrual status. See Note 3, “Securities,” for further details regarding the Company’s securities portfolio.</w:t>
      </w:r>
    </w:p>
    <w:p>
      <w:pPr>
        <w:spacing w:after="0" w:line="1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Securities Sold Under Agreements to Repurchase</w:t>
      </w:r>
      <w:r>
        <w:rPr>
          <w:rFonts w:ascii="Times New Roman" w:cs="Times New Roman" w:eastAsia="Times New Roman" w:hAnsi="Times New Roman"/>
          <w:sz w:val="18"/>
          <w:szCs w:val="18"/>
          <w:color w:val="auto"/>
        </w:rPr>
        <w:t>: Securities sold under agreements to repurchase are accounted for as collateralized financing transactions and are recorded at the amounts at which the securities were sold plus accrued interest. Securities, generally U.S. government and agency securities, pledged as collateral under these financing arrangements cannot be sold or repledged by the secured party.</w:t>
      </w:r>
    </w:p>
    <w:p>
      <w:pPr>
        <w:spacing w:after="0" w:line="1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u w:val="single" w:color="auto"/>
          <w:color w:val="auto"/>
        </w:rPr>
        <w:t>Loans Held for Sale</w:t>
      </w:r>
      <w:r>
        <w:rPr>
          <w:rFonts w:ascii="Times New Roman" w:cs="Times New Roman" w:eastAsia="Times New Roman" w:hAnsi="Times New Roman"/>
          <w:sz w:val="18"/>
          <w:szCs w:val="18"/>
          <w:color w:val="auto"/>
        </w:rPr>
        <w:t>: The “Loans held for sale” line item on the Company’s Consolidated Balance Sheets consists of residential mortgage loans held for sale. The Company has elected to carry these loans at fair value. Gains and losses are realized at the time consideration is received and all other criteria for sales treatment have been met. These realized and unrealized gains and losses are classified under the line item “Mortgage banking income” on the Consolidated Statements of Income.</w:t>
      </w:r>
    </w:p>
    <w:p>
      <w:pPr>
        <w:spacing w:after="0" w:line="13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u w:val="single" w:color="auto"/>
          <w:color w:val="auto"/>
        </w:rPr>
        <w:t>Factoring</w:t>
      </w:r>
      <w:r>
        <w:rPr>
          <w:rFonts w:ascii="Times New Roman" w:cs="Times New Roman" w:eastAsia="Times New Roman" w:hAnsi="Times New Roman"/>
          <w:sz w:val="16"/>
          <w:szCs w:val="16"/>
          <w:color w:val="auto"/>
        </w:rPr>
        <w:t>: The Company provides short-term financing to certain clients by operating as a factor. The Company purchases accounts receivable from its client and then generally collects the receivables directly from the client’s account customers. Cash is advanced to the Company’s client to the extent of the advance rate, less any applicable fees, set forth in the individual factoring agreement. The unadvanced portion of the purchased receivables are considered client reserves and may be used to settle payment disputes or collection shortfalls. Upon collection of the receivable and settlement of any client obligation, the client reserves are returned to the client. Factoring receivables, net of client reserves, are reported as “Loans” on the Consolidated Balance Sheets (this includes arrangements where the Company does not directly collect the receivables of the client’s account customers). Factoring fees are reported as interest income on loans while other fees generated from factoring relationships are reported as noninterest income on the Consolidated Statements of Income.</w:t>
      </w:r>
    </w:p>
    <w:p>
      <w:pPr>
        <w:spacing w:after="0" w:line="10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u w:val="single" w:color="auto"/>
          <w:color w:val="auto"/>
        </w:rPr>
        <w:t>Loans and the Allowance for Credit Losses</w:t>
      </w:r>
      <w:r>
        <w:rPr>
          <w:rFonts w:ascii="Times New Roman" w:cs="Times New Roman" w:eastAsia="Times New Roman" w:hAnsi="Times New Roman"/>
          <w:sz w:val="18"/>
          <w:szCs w:val="18"/>
          <w:color w:val="auto"/>
        </w:rPr>
        <w:t>: Loans that management has the intent and ability to hold for the foreseeable future or until maturity or pay-off generally are reported at their amortized cost or outstanding unpaid principal balances, in either case adjusted for charge-offs, the allowance for credit losses, any deferred fees or costs on originated loans and any purchase discounts or premiums on purchased loans. Renasant Bank defers certain nonrefundable loan origination fees as well as the direct costs of originating or acquiring loans. The deferred fees and costs are then amortized over the term of the note for all loans with payment schedules. Loans with no payment schedule are amortized using the straight-line method. The amortization of these deferred fees is presented as an adjustment to the yield on loans. Interest income is accrued on the unpaid principal balance.</w:t>
      </w:r>
    </w:p>
    <w:p>
      <w:pPr>
        <w:spacing w:after="0" w:line="1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Certain modifications of loans made to borrowers experiencing financial difficulty in the form of principal forgiveness, an interest rate reduction, an other-than-insignificant payment delay (including extension of the amortization period), or a term extension, excluding covenant waivers and modification of contingent acceleration clauses, are required to be disclosed in accordance with ASU 2022-02, </w:t>
      </w:r>
      <w:r>
        <w:rPr>
          <w:rFonts w:ascii="Times New Roman" w:cs="Times New Roman" w:eastAsia="Times New Roman" w:hAnsi="Times New Roman"/>
          <w:sz w:val="18"/>
          <w:szCs w:val="18"/>
          <w:i w:val="1"/>
          <w:iCs w:val="1"/>
          <w:color w:val="auto"/>
        </w:rPr>
        <w:t>“Financial Instruments - Credit Losses (Topic 326): Troubled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Restructurings and Vintage Disclosures” </w:t>
      </w:r>
      <w:r>
        <w:rPr>
          <w:rFonts w:ascii="Times New Roman" w:cs="Times New Roman" w:eastAsia="Times New Roman" w:hAnsi="Times New Roman"/>
          <w:sz w:val="18"/>
          <w:szCs w:val="18"/>
          <w:color w:val="auto"/>
        </w:rPr>
        <w:t>(“ASU 2022-02”). Upon the Company’s determination that a modification has been subsequently deemed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uncollectible, the loan, or portion of the loan, is charged off, the amortized cost basis of the loan is reduced by the uncollectible amount, and the allowance for credit losses is adjusted accordingly. See Note 5, “Allowance for Credit Losses,” for more information on the allowance for credit losses.</w:t>
      </w:r>
    </w:p>
    <w:p>
      <w:pPr>
        <w:spacing w:after="0" w:line="13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Loans are considered past due if the required principal and interest payments have not been received as of the date such payments were due. Generally, the recognition of interest on mortgage and commercial and industrial loans is discontinued at the time the loan is 90 days past due unless the credit is well-secured and in process of collection. Consumer and other retail loans are typically charged-off no later than the time the loan is 120 days past due. In all cases, loans are placed on nonaccrual status or charged-off at an earlier date if collection of principal or interest is considered doubtful. Loans may be placed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Significant Accounting Policies (continued)</w:t>
      </w:r>
    </w:p>
    <w:p>
      <w:pPr>
        <w:spacing w:after="0" w:line="3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nonaccrual regardless of whether or not such loans are considered past due. All interest accrued, but not collected, for loans that are placed on nonaccrual or charged-off is reversed against interest income. The interest on these loans is accounted for on the cash-basis or cost-recovery method, until qualifying for return to accrual. Loans are returned to accrual status when all the principal and interest amounts contractually due are brought current and future payments are reasonably assured. Because accrued interest receivable not expected to be collected is written off in a timely manner, the Company has made an accounting policy election to exclude accrued interest from the measurement of the allowance for credit losses.</w:t>
      </w:r>
    </w:p>
    <w:p>
      <w:pPr>
        <w:spacing w:after="0" w:line="1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allowance for credit losses is an estimate of expected losses inherent within the Company’s loans held for investment portfolio and is maintained at a level believed adequate by management to absorb credit losses inherent in such loan portfolio. Management evaluates the adequacy of the allowance for credit losses on a quarterly basis. Loan losses are charged against the allowance for credit losses when management confirms the uncollectability of a loan balance. Subsequent recoveries, if any, are credited to the allowance. The allowance for credit losses on loans held for investment, as reported in the Company’s Consolidated Balance Sheets, is then adjusted by a provision for credit losses, which is recorded in earnings. Expected credit loss inherent in non-cancellable off-balance-sheet credit exposures is accounted for as a separate liability in the Consolidated Balance Sheets.</w:t>
      </w:r>
    </w:p>
    <w:p>
      <w:pPr>
        <w:spacing w:after="0" w:line="13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credit loss estimation process involves procedures to appropriately consider the unique characteristics of the Company’s loan portfolio segments. Credit quality is assessed and monitored by evaluating various attributes, and the results of those evaluations are utilized in underwriting new loans and in the Company’s process for the estimation of expected credit losses. Credit quality monitoring procedures and indicators can include an assessment of critizied loans, the types of loans, historical loss experience, new lending products, emerging credit trends, changes in the size and character of loan categories and other factors, including the Company’s risk rating system, regulatory guidance and economic conditions, such as the unemployment rate and GDP growth in the markets in which the Company operates, as well as trends in the market values of underlying collateral securing loans, all as determined based on input from management, loan review staff and other sources. This evaluation is complex and inherently subjective, as it requires estimates by management that are inherently uncertain and therefore susceptible to significant revision as more information becomes available. Similarly, there may be significant changes in the allowance and provision for credit losses in future periods as the estimates and assumptions underlying such estimates are adjusted in light of then-prevailing factors and forecasts. Changes in any of the assumptions involved in the estimation process may result in significant changes in the allowance and provision for credit losses in those future periods.</w:t>
      </w:r>
    </w:p>
    <w:p>
      <w:pPr>
        <w:spacing w:after="0" w:line="14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The methodology for estimating the amount of expected credit losses reported in the allowance for credit losses has two basic components: first, a collective (or pool) component for estimating expected credit losses for pools of loans that share similar risk characteristics; and second, an asset-specific component involving individual loans that do not share risk characteristics with other loans and the measurement of expected credit losses for such individual loans.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Company’s loans are segregated into loan portfolio segments based upon similarity of credit risk. The Company’s loan portfolio segments are as follows:</w:t>
      </w:r>
    </w:p>
    <w:p>
      <w:pPr>
        <w:spacing w:after="0" w:line="18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Commercial and Industrial (“Commercial”)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Commercial loans are customarily granted to established local business customers in the Company’s market area on a collateralized basis to meet their credit needs. Maturities are typically short term in nature and are commensurate with the secondary source of repayment that serves as the Company’s collateral. Although commercial loans may be collateralized by equipment or other business assets, the repayment of this type of loan depends primarily on the creditworthiness and projected cash flow of the borrower (and any guarantors). Thus, the chief considerations when assessing the risk of a commercial loan are the local business borrower’s ability to sell its products/services, thereby generating sufficient operating revenue to repay the Company under the agreed upon terms and conditions, and the general business conditions of the local economy or other markets that the business serves. The Company’s factoring receivables are categorized as commercial loans; for these, the risk assessment considers the ability of the client’s account customer, rather than the client itself, to repay the Company. The Company’s lease financing receivables, which are granted to provide capital to businesses for commercial equipment needs, are also categorized as commercial loans; such loans are generally granted for periods ranging between two and five years at fixed rates of interest. Loss or decline of income by the borrower due to unplanned occurrences represents the primary risk of default to the Company from lease financing. In the event of default, a shortfall in the value of the collateral may pose a loss in this loan category. The Company obtains a lien against the collateral securing the loan and holds title (if applicable) until the loan is repaid in full. Transportation, manufacturing, healthcare, material handling, printing and construction are the industries that typically obtain lease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Significant Accounting Policies (continued)</w:t>
      </w:r>
    </w:p>
    <w:p>
      <w:pPr>
        <w:spacing w:after="0" w:line="34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Construction and Land Development (“Construction”)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Company’s construction loan portfolio consists of loans for the construction of single-family residential properties, multi-family properties and commercial projects. The Company also offers commercial real estate loans to developers of commercial properties for purposes of site acquisition and preparation and other development prior to actual construction (referred to as “commercial land development loans”); loans for the preparation of residential real property prior to construction are also included in this segment (referred to as “residential land development loans”). Maturities for construction loans generally range from six to 12 months for residential properties and from 24 to 36 months for non-residential and multi-family properties. The source of repayment of a construction loan comes from the sale or lease of newly-constructed property, although often construction loans are repaid with the proceeds of a commercial real estate loan that the Company makes to the owner or lessor of the newly-constructed property. Land development loans are dependent on the successful completion of the project and may be affected by adverse conditions in the real estate market or the economy as a whole.</w:t>
      </w:r>
    </w:p>
    <w:p>
      <w:pPr>
        <w:spacing w:after="0" w:line="13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Real Estate - 1-4 Family Mortgage (“1-4 Family Mortgage”)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This segment of the Company’s loan portfolio includes loans secured by first or second liens on residential real estate in which the property is the principal residence of the borrower, as well as loans secured by residential real estate in which the property is rented to tenants or is otherwise not the principal residence of the borrower. In addition, this segment includes home equity loans or lines of credit and term loans secured by first and second mortgages on the residences of borrowers who elect to use the accumulated equity in their homes for purchases, refinances, home improvements, education and other personal expenditures. The Company attempts to minimize the risk associated with residential real estate loans by scrutinizing the financial condition of the borrower; typically, the maximum loan-to-value ratio is also limited.</w:t>
      </w:r>
    </w:p>
    <w:p>
      <w:pPr>
        <w:spacing w:after="0" w:line="13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Commercial Real Estate - Owner Occupied (“Owner Occupied CRE”) - Included in this portfolio segment are loans in which the owner develops a property with the intention of locating its business there. Payments on these loans are dependent on the successful development and management of the business as well as the borrower’s ability to generate sufficient operating revenue to repay the loan. In some instances, in addition to the mortgage on the underlying real estate of the business, owner-occupied commercial real estate loans are secured by other non-real estate collateral, such as equipment or other assets used in the business.</w:t>
      </w:r>
    </w:p>
    <w:p>
      <w:pPr>
        <w:spacing w:after="0" w:line="1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Commercial Real Estate - Non-Owner Occupied (“Non-Owner Occupied CRE”) - Included in this portfolio segment are loans in which the owner develops a property where the source of repayment of the loan will come from the sale or lease of the developed property, for example, retail shopping centers, hotels and storage facilities. Non-owner occupied commercial real estate loans are dependent on the successful completion of the project and may be affected by adverse conditions in the real estate market or the economy as a whole.</w:t>
      </w:r>
    </w:p>
    <w:p>
      <w:pPr>
        <w:spacing w:after="0" w:line="13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Consumer - Consumer loans are granted to individuals for the purchase of personal goods. Loss or decline of income by the borrower due to unplanned occurrences represents the primary risk of default to the Company. In the event of default, a shortfall in the value of the collateral may pose a loss in this loan category. Before granting a consumer loan, the Company assesses the applicant’s credit history and ability to meet existing and proposed debt obligations. Although the applicant’s creditworthiness is the primary consideration, the underwriting process also includes a comparison of the value of the collateral, if any, to the proposed loan amount. The Company obtains a lien against the collateral securing the loan and holds title (if applicable) until the loan is repaid in full.</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Evaluated on a Collective (Pool) Basis</w:t>
      </w:r>
    </w:p>
    <w:p>
      <w:pPr>
        <w:spacing w:after="0" w:line="16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allowance for credit losses for loans that share similar risk characteristics with other loans is calculated on a collective or pool basis. In determining the allowance for credit losses on loans evaluated on a collective basis, the Company categorizes loan pools based on loan type and/or risk rating. The Company uses two CECL models: (1) a loss rate model, based on average historical life-of-loan loss rates, which is used for the Construction, 1-4 Family Mortgage and Consumer loans portfolio segments, and (2) a probability of default/loss given default model, which calculates an expected loss percentage for each loan pool by considering (a) the probability of default, based on the migration of loans from performing (using risk ratings) to default using life-of-loan analysis periods, and (b) the historical severity of loss, based on the aggregate net lifetime losses incurred per loan pool, which is used for Commercial, Non-Owner Occupied CRE and Owner Occupied CRE portfolio segments.</w:t>
      </w:r>
    </w:p>
    <w:p>
      <w:pPr>
        <w:spacing w:after="0" w:line="13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historical loss rates calculated as described above are adjusted, as necessary, for both internal and external qualitative factors where there are differences in the historical loss data of the Company and current or projected future conditions. Internal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Significant Accounting Policies (continued)</w:t>
      </w:r>
    </w:p>
    <w:p>
      <w:pPr>
        <w:spacing w:after="0" w:line="34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factors include loss history, changes in credit quality (including movement between risk ratings) and/or credit concentration and changes in the nature and volume of the respective loan portfolio segments. External factors include current and reasonable and supportable forecasted economic conditions and changes in collateral values. These factors are used to adjust the historical loss rates (as described above) to ensure that they reflect management’s expectation of future conditions based on a reasonable and supportable forecast period of two years. To the extent the lives of the loans in the portfolio extend beyond the period for which a reasonable and supportable forecast can be made, when necessary, the models immediately revert to the historical loss rates adjusted for qualitative factors related to current conditions.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Evaluated on an Individual Basis</w:t>
      </w:r>
    </w:p>
    <w:p>
      <w:pPr>
        <w:spacing w:after="0" w:line="16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For loans that do not share similar risk characteristics with other loans, an analysis of the loan is performed to determine the expected credit loss. If a respective loan is collateral dependent (that is, when the borrower is experiencing financial difficulty and repayment is expected to be provided substantially through the operation or sale of the collateral), the expected credit loss is measured as the difference between the amortized cost basis of the loan and the fair value of the collateral. The fair value of collateral is initially based on external appraisals. Such values are updated every twelve months, either from external third parties or in-house certified appraisers. Third-party appraisals, when utilized, are obtained from a pre-approved list of independent, local appraisal firms. The fair value of the collateral derived from the external appraisal is then adjusted for the estimated cost to sell if repayment or satisfaction of a loan is dependent on the sale (rather than only on the operation) of the collateral. Other acceptable methods for determining the expected credit losses for individually evaluated loans (typically used when the loan is not collateral dependent) is a discounted cash flow approach or, if applicable, an observable market price. Once the expected credit loss amount is determined, an allowance equal to such expected credit loss is included in the allowance for credit losses.</w:t>
      </w:r>
    </w:p>
    <w:p>
      <w:pPr>
        <w:spacing w:after="0" w:line="11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Company maintains a separate allowance for credit losses on unfunded loan commitments, which is included in the “Other liabilities” line item on the Consolidated Balance Sheets. Changes in such allowance are recorded in the “Provision for (reversal of) credit losses on unfunded commitments” line item on the Consolidated Statements of Income. Management estimates the amount of expected losses on unfunded loan commitments by calculating a likelihood of funding over the contractual period for exposures that are not unconditionally cancellable by the Company and applying the loss factors used in the allowance for credit losses on loans methodology described above to unfunded commitments for each loan type. No credit loss estimate is reported for off-balance-sheet credit exposures that are unconditionally cancellable by the Company.</w:t>
      </w:r>
    </w:p>
    <w:p>
      <w:pPr>
        <w:spacing w:after="0" w:line="13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See Note 4, “Loans,” and Note 5, “Allowance for Credit Losses” for disclosures regarding the Company’s held for investment loan portfolio and the related allowance for credit losses.</w:t>
      </w:r>
    </w:p>
    <w:p>
      <w:pPr>
        <w:spacing w:after="0" w:line="1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u w:val="single" w:color="auto"/>
          <w:color w:val="auto"/>
        </w:rPr>
        <w:t>Business Combinations, Accounting for Purchased Credit Deteriorated Loans and Related Assets</w:t>
      </w:r>
      <w:r>
        <w:rPr>
          <w:rFonts w:ascii="Times New Roman" w:cs="Times New Roman" w:eastAsia="Times New Roman" w:hAnsi="Times New Roman"/>
          <w:sz w:val="18"/>
          <w:szCs w:val="18"/>
          <w:color w:val="auto"/>
        </w:rPr>
        <w:t>: Business combinations are accounted for by applying the acquisition method, where identifiable assets acquired and liabilities assumed and any non-controlling interest in the acquired company at the acquisition date are measured at their fair values as of that date and are recognized separately from goodwill. Results of operations of the acquired entities are included in the Consolidated Statements of Income from the date of acquisition. Acquisition costs incurred by the Company are expensed as incurred.</w:t>
      </w:r>
    </w:p>
    <w:p>
      <w:pPr>
        <w:spacing w:after="0" w:line="13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For a purchased asset that the Company has the intent of holding for investment, the Company determines whether the asset has experienced more-than-insignificant deterioration in credit quality since origination. Factors used in the determination will vary but may include delinquency history, historical accrual status, and downgrades in the risk rating by the seller, among others. The Company’s review of an asset during its due diligence evaluation of the purchase may identify other unique attributes that would indicate that more-than-insignificant deterioration has occurred such as the borrower’s financial condition, credit rating or credit score as well as the value of underlying collateral. The Company analyzes these factors collectively and may also consider market conditions or economic factors that would indicate a purchased asset has experienced more-than-insignificant deterioration in credit quality since origination. Such assets that have experienced more-than-insignificant deterioration are referred to as purchased credit deteriorated (“PCD”) assets. For PCD loans, the initial estimate of expected credit losses is recognized in the allowance for credit losses on the date of acquisition. The initial amortized cost of PCD loans is determined by reducing the loans’ par value by the acquisition date estimate of expected credit losses with any difference between the resulting amount and the loans’ purchase price recorded as a non-credit-related discount. After initial recognition, the accounting for PCD assets will generally follow the credit loss model that applies to that type of asset. Non-PCD assets record the Day 1 allowance for credit losses through earnings on the date of purchase. The Company accretes or amortizes as interest income the fair value discounts on both PCD and non-PCD assets over the life of the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Significant Accounting Policies (continued)</w:t>
      </w:r>
    </w:p>
    <w:p>
      <w:pPr>
        <w:spacing w:after="0" w:line="3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u w:val="single" w:color="auto"/>
          <w:color w:val="auto"/>
        </w:rPr>
        <w:t>Premises and Equipment</w:t>
      </w:r>
      <w:r>
        <w:rPr>
          <w:rFonts w:ascii="Times New Roman" w:cs="Times New Roman" w:eastAsia="Times New Roman" w:hAnsi="Times New Roman"/>
          <w:sz w:val="18"/>
          <w:szCs w:val="18"/>
          <w:color w:val="auto"/>
        </w:rPr>
        <w:t>: Premises and equipment are stated at cost less accumulated depreciation. Depreciation is computed primarily by use of the straight-line method, with annual provisions for depreciation computed primarily using estimated lives of 40 years for premises, three to seven years for furniture and equipment and three to five years for computer equipment and transportation equipment. Leasehold improvements are depreciated over the period of the leases or the estimated useful life of the improvements, whichever is shorter.</w:t>
      </w:r>
    </w:p>
    <w:p>
      <w:pPr>
        <w:spacing w:after="0" w:line="1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u w:val="single" w:color="auto"/>
          <w:color w:val="auto"/>
        </w:rPr>
        <w:t>Leases:</w:t>
      </w:r>
      <w:r>
        <w:rPr>
          <w:rFonts w:ascii="Times New Roman" w:cs="Times New Roman" w:eastAsia="Times New Roman" w:hAnsi="Times New Roman"/>
          <w:sz w:val="18"/>
          <w:szCs w:val="18"/>
          <w:color w:val="auto"/>
        </w:rPr>
        <w:t xml:space="preserve"> The Company enters into both lessor and lessee arrangements and determines if an arrangement is a lease at inception. The Company elected the practical expedient to account for lease and non-lease components as a single lease component for all asset classes.</w:t>
      </w:r>
    </w:p>
    <w:p>
      <w:pPr>
        <w:spacing w:after="0" w:line="11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All of the Company’s lessee arrangements are operating leases, being real estate leases for Company facilities. Under these arrangements, the Company records a lease liability for the present value of the future lease payments under the lease terms and a right-of-use asset equal to the lease liability adjusted for items such as deferred or prepaid rent, lease incentives and any impairment of the right-of-use asset. The discount rate used in determining the lease liability is based upon the Company’s incremental borrowing rate, which is the rate of interest the Company would have to pay to borrow on a collateralized basis over a similar term in a similar environment. The Company recognizes a right-of-use asset and a lease liability for all leases with a term greater than 12 months on its balance sheet regardless of whether the lease is classified as financing or operating. The Company recognizes lease expense as incurred for leases with an initial term of less than 12 months. Right-of-use assets are reported in premises and equipment on the Consolidated Balance Sheets and the related lease liabilities are reported in other liabilities. Lease terms may contain renewal and extension options and early termination features. Many leases include one or more options to renew, with renewal terms that can extend the lease term from one to 20 years or more. The exercise of lease renewal options is at the Company’s sole discretion. Renewal options which are reasonably certain to be exercised in the future were included in the measurement of right-of-use assets and lease liabilities.</w:t>
      </w:r>
    </w:p>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Lease expense is recognized on a straight-line basis over the lease term and is recorded in the “Net occupancy and equipment expense” line item in the Consolidated Statements of Income. Variable lease payments consist primarily of common area maintenance, insurance and taxes. The Company does not have any material sublease agreements currently in place.</w:t>
      </w:r>
    </w:p>
    <w:p>
      <w:pPr>
        <w:spacing w:after="0" w:line="12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Company finances various types of equipment arrangements for customers through operating, direct financing and sales-type leases. Lease payment terms are fixed and are typically payable in monthly installments. The lease arrangements may contain renewal options and purchase options that allow the lessee to purchase the leased equipment at the end of the lease term. The leases generally do not contain non-lease components. Prior to lease inception, the Company estimates the expected residual value of the leased property at the end of the lease term by considering both internal and third-party appraisals. In order to mitigate potential exposure to residual asset risk, the Company utilizes first amendment or terminal rental adjustment clause leases. The net investment in these leases consists of the carrying amount of the lease receivables plus residual balances and deferred income. The Company’s net investment is included in “Loans held for investment, net of unearned income” on the Consolidated Balance Sheets. Lease income is included in interest income on loans on the Consolidated Statements of Income.</w:t>
      </w:r>
    </w:p>
    <w:p>
      <w:pPr>
        <w:spacing w:after="0" w:line="13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u w:val="single" w:color="auto"/>
          <w:color w:val="auto"/>
        </w:rPr>
        <w:t>Other Real Estate Owned</w:t>
      </w:r>
      <w:r>
        <w:rPr>
          <w:rFonts w:ascii="Times New Roman" w:cs="Times New Roman" w:eastAsia="Times New Roman" w:hAnsi="Times New Roman"/>
          <w:sz w:val="18"/>
          <w:szCs w:val="18"/>
          <w:color w:val="auto"/>
        </w:rPr>
        <w:t>: Other real estate owned (“OREO”) consists of properties acquired through foreclosure or acceptance of a deed in lieu of foreclosure. These properties are initially recorded into other real estate owned at fair value less cost to sell and are subsequently carried at the lower of cost or fair value based on updated appraised values less estimated selling costs. Losses arising at the time of foreclosure of properties are charged against the allowance for credit losses. Reductions in the carrying value subsequent to acquisition are charged to earnings and are included under the line item “Other real estate owned” on the Consolidated Statements of Income.</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u w:val="single" w:color="auto"/>
          <w:color w:val="auto"/>
        </w:rPr>
        <w:t>Mortgage Servicing Rights</w:t>
      </w:r>
      <w:r>
        <w:rPr>
          <w:rFonts w:ascii="Times New Roman" w:cs="Times New Roman" w:eastAsia="Times New Roman" w:hAnsi="Times New Roman"/>
          <w:sz w:val="16"/>
          <w:szCs w:val="16"/>
          <w:color w:val="auto"/>
        </w:rPr>
        <w:t>: The Company retains the right to service certain mortgage loans that it sells to secondary market investors. These mortgage servicing rights are recognized as a separate asset on the date the corresponding mortgage loan is sold. Mortgage servicing rights are amortized in proportion to and over the period of estimated net servicing income. These servicing rights are carried at the lower of amortized cost or fair value. Fair value is determined using an income approach with various assumptions including expected cash flows, prepayment speeds, market discount rates, servicing costs, mortgage interest rates and other factors. Servicing rights are evaluated for impairment based upon the fair value of the rights as compared to carrying amount. Impairment is recognized through a valuation allowance, to the extent that unamortized cost exceeds fair value. If the Company later determines that all or a portion of the impairment no longer exists, a reduction of the valuation allowance may be recorded as an increase to income. Changes in valuation allowances related to servicing rights are reported in the line item “Mortgage banking income” on the Consolidated Statements of Income. The fair value of servicing rights is subject to significant fluctuations as a result of changes in estimated and actual prepayment speeds and default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Significant Accounting Policies (continued)</w:t>
      </w:r>
    </w:p>
    <w:p>
      <w:pPr>
        <w:spacing w:after="0" w:line="34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and losses. See Note 9, “Mortgage Servicing Rights,” for further details. From time to time, the Company may sell a portion or all of its mortgage servicing rights. Any gains or losses on such sales are reported in the line item “Mortgage banking income” on the Consolidated Statements of Income.</w:t>
      </w:r>
    </w:p>
    <w:p>
      <w:pPr>
        <w:spacing w:after="0" w:line="11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u w:val="single" w:color="auto"/>
          <w:color w:val="auto"/>
        </w:rPr>
        <w:t>Goodwill and Other Intangible Assets</w:t>
      </w:r>
      <w:r>
        <w:rPr>
          <w:rFonts w:ascii="Times New Roman" w:cs="Times New Roman" w:eastAsia="Times New Roman" w:hAnsi="Times New Roman"/>
          <w:sz w:val="18"/>
          <w:szCs w:val="18"/>
          <w:color w:val="auto"/>
        </w:rPr>
        <w:t>: Goodwill represents the excess of the cost of an acquisition over the fair value of the net assets acquired. Other intangible assets, consisting of core deposit intangibles and customer relationship intangibles, represent purchased assets that lack physical substance but can be distinguished from goodwill because of contractual or other legal rights. Intangibles with finite lives are amortized over their estimated useful lives. Goodwill and other intangible assets are subject to impairment testing annually or more frequently if events or circumstances indicate possible impairment; if impaired, such assets are recorded at fair value. Goodwill is assigned to the Company’s reporting segments. In determining the fair value of the Company’s reporting units, management uses the market approach. Other intangible assets are reviewed for events or circumstances that could impact the recoverability of the intangible asset, such as a loss of core deposits, increased competition or adverse changes in the economy.</w:t>
      </w:r>
    </w:p>
    <w:p>
      <w:pPr>
        <w:spacing w:after="0" w:line="1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u w:val="single" w:color="auto"/>
          <w:color w:val="auto"/>
        </w:rPr>
        <w:t>Bank-Owned Life Insurance</w:t>
      </w:r>
      <w:r>
        <w:rPr>
          <w:rFonts w:ascii="Times New Roman" w:cs="Times New Roman" w:eastAsia="Times New Roman" w:hAnsi="Times New Roman"/>
          <w:sz w:val="18"/>
          <w:szCs w:val="18"/>
          <w:color w:val="auto"/>
        </w:rPr>
        <w:t>: Bank-owned life insurance (“BOLI”) is an institutionally-priced insurance product that is specifically designed for purchase by insured depository institutions. The Company has purchased such insurance policies on certain employees, with Renasant Bank being listed as the primary beneficiary. The carrying value of BOLI is recorded at the cash surrender value of the policies, net of any applicable surrender charges. Changes in the value of the cash surrender value of the policies are reflected under the line item “BOLI income” on the Consolidated Statements of Income.</w:t>
      </w:r>
    </w:p>
    <w:p>
      <w:pPr>
        <w:spacing w:after="0" w:line="1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Revenue from Contracts with Customers</w:t>
      </w:r>
      <w:r>
        <w:rPr>
          <w:rFonts w:ascii="Times New Roman" w:cs="Times New Roman" w:eastAsia="Times New Roman" w:hAnsi="Times New Roman"/>
          <w:sz w:val="18"/>
          <w:szCs w:val="18"/>
          <w:color w:val="auto"/>
        </w:rPr>
        <w:t>: For revenue streams with customers recorded in non-interest income, costs that are incremental to obtaining a contract are capitalized. In the case of the Company, these costs include sales commissions for insurance, wealth management fees, and revenue from certain sales of OREO. Costs with an amortization period of one year or less are expensed as incurred.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 Charges on Deposit Accounts</w:t>
      </w:r>
    </w:p>
    <w:p>
      <w:pPr>
        <w:spacing w:after="0" w:line="163" w:lineRule="exact"/>
        <w:rPr>
          <w:sz w:val="20"/>
          <w:szCs w:val="20"/>
          <w:color w:val="auto"/>
        </w:rPr>
      </w:pPr>
    </w:p>
    <w:p>
      <w:pPr>
        <w:jc w:val="both"/>
        <w:ind w:firstLine="5"/>
        <w:spacing w:after="0" w:line="256" w:lineRule="auto"/>
        <w:tabs>
          <w:tab w:leader="none" w:pos="11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charges on deposit accounts include maintenance fees on accounts, per item charges, account enhancement charges for additional packaged benefits and overdraft fees. The contracts with deposit account customers are day-to-day contracts and are considered to be terminable at will by either party. Therefore, the fees are all considered to be earned when charged and simultaneously collected.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Fees and Commissions</w:t>
      </w:r>
    </w:p>
    <w:p>
      <w:pPr>
        <w:spacing w:after="0" w:line="163" w:lineRule="exact"/>
        <w:rPr>
          <w:sz w:val="20"/>
          <w:szCs w:val="20"/>
          <w:color w:val="auto"/>
        </w:rPr>
      </w:pPr>
    </w:p>
    <w:p>
      <w:pPr>
        <w:ind w:firstLine="5"/>
        <w:spacing w:after="0" w:line="268" w:lineRule="auto"/>
        <w:tabs>
          <w:tab w:leader="none" w:pos="10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commissions include fees related to deposit services, such as ATM fees and interchange fees on debit card transactions. These fees are earned at the point in time when the services are rendered, and therefore the related revenue is recognized as the Company’s performance obligation is satisfied.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Commissions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Insurance commissions are earned when policies are placed by customers with the insurance carriers and are collected and recognized using two different</w:t>
      </w:r>
    </w:p>
    <w:p>
      <w:pPr>
        <w:spacing w:after="0" w:line="4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methods: the agency bill method and the direct bill method. Prior to the sale of the Company’s insurance agency businesses in July 2024 (as to Renasant Insurance, Inc.) and December 2025 (as to Southwest Georgia Insurance Services, Inc.) each insurance agency, under the agency bill method, was responsible for billing the customers directly and then collecting and remitting the premiums to the insurance carriers. Agency bill revenue was recognized at the later of the invoice date or effective date of the policy. Under the direct bill method, premium billing and collections were handled by the insurance carriers, and a commission was then paid to the insurance agency. Direct bill revenue was recognized when the commission payment was received from the insurance carriers.</w:t>
      </w:r>
    </w:p>
    <w:p>
      <w:pPr>
        <w:spacing w:after="0" w:line="1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also earned contingency income that it recognized on a cash basis. Contingency income is a bonus received from the insurance underwriters based on commission income and claims experience on policies during the previous year. Increases and decreases in contingency income are reflective of corresponding increases and decreases in the amount of claims paid by insurance carriers.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Significant Accounting Policies (continued)</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Wealth Management Revenue</w:t>
      </w:r>
    </w:p>
    <w:p>
      <w:pPr>
        <w:spacing w:after="0" w:line="163" w:lineRule="exact"/>
        <w:rPr>
          <w:sz w:val="20"/>
          <w:szCs w:val="20"/>
          <w:color w:val="auto"/>
        </w:rPr>
      </w:pPr>
    </w:p>
    <w:p>
      <w:pPr>
        <w:jc w:val="both"/>
        <w:ind w:firstLine="5"/>
        <w:spacing w:after="0" w:line="250" w:lineRule="auto"/>
        <w:tabs>
          <w:tab w:leader="none" w:pos="10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for managing trust accounts (inclusive of personal and corporate benefit accounts, IRAs, and custodial accounts) are based on the value of assets under management in the account, with the amount of the fee depending on the type of account. Revenue is recognized on a monthly basis, and there is little to no risk of a material reversal of revenue. Fees for other wealth management services, such as investment guidance relating to fixed and variable annuities, mutual funds, stocks and other investments, are recognized based on either trade activity, where fees are recognized at the time of the trade, or assets under management, where fees are recognized monthly, and there is little to no risk of material reversal of revenue.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of OREO</w:t>
      </w:r>
    </w:p>
    <w:p>
      <w:pPr>
        <w:spacing w:after="0" w:line="163" w:lineRule="exact"/>
        <w:rPr>
          <w:sz w:val="20"/>
          <w:szCs w:val="20"/>
          <w:color w:val="auto"/>
        </w:rPr>
      </w:pPr>
    </w:p>
    <w:p>
      <w:pPr>
        <w:jc w:val="both"/>
        <w:ind w:firstLine="5"/>
        <w:spacing w:after="0" w:line="247" w:lineRule="auto"/>
        <w:tabs>
          <w:tab w:leader="none" w:pos="11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continually markets the properties included in the OREO portfolio. The Company will at times, in the ordinary course of business, provide seller-financing on sales of OREO. In cases where a sale is seller-financed, the Company must ensure the commitment of both parties to perform their respective obligations and the collectability of the transaction price in order to properly recognize the revenue on the sale of OREO. This is accomplished through the Company’s loan underwriting process. In this process the Company considers factors such as the buyer’s initial equity in the property, the credit quality of the buyer, the financing terms of the loan and the cash flow from the property, if applicable. The revenue on the sale of OREO will be recognized on the closing date of the sale when the Company has transferred title to the buyer and obtained the right to receive payment for the property. In instances where sales are not seller-financed, the Company recognizes revenue on the closing date of the sale when the Company has obtained payment for the property and transferred title to the buyer. For additional information on OREO, please see Note 7, “Other Real Estate Owned.”</w:t>
      </w:r>
    </w:p>
    <w:p>
      <w:pPr>
        <w:spacing w:after="0" w:line="13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u w:val="single" w:color="auto"/>
          <w:color w:val="auto"/>
        </w:rPr>
        <w:t>Income Taxes</w:t>
      </w:r>
      <w:r>
        <w:rPr>
          <w:rFonts w:ascii="Times New Roman" w:cs="Times New Roman" w:eastAsia="Times New Roman" w:hAnsi="Times New Roman"/>
          <w:sz w:val="18"/>
          <w:szCs w:val="18"/>
          <w:color w:val="auto"/>
        </w:rPr>
        <w:t>: Income taxes are accounted for under the asset and liability method. Under this method, deferred tax assets and liabilities are determined based on differences between financial reporting and tax bases of assets and liabilities and are measured using the enacted tax rates and laws that will be in effect when the differences are expected to reverse. It is the Company’s policy to recognize interest and penalties, if incurred, related to unrecognized tax benefits in income tax expense. The Company and its subsidiaries file a consolidated federal income tax return. Renasant Bank provides for income taxes on a separate-return basis and remits to the Company amounts determined to be currently payable.</w:t>
      </w:r>
    </w:p>
    <w:p>
      <w:pPr>
        <w:spacing w:after="0" w:line="1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Deferred income taxes, included in “Other assets” on the Consolidated Balance Sheets, reflect the net tax effects of temporary differences between the carrying amounts of assets and liabilities for financial reporting purposes and the amounts used for income tax purposes. Realization of deferred tax assets is dependent upon the generation of a sufficient level of future taxable income and recoverable taxes paid in prior years. Although realization is not assured, management believes that the Company and its subsidiaries will realize a substantial majority of the deferred tax assets. When it is more likely than not that deferred tax assets will not be realized, a valuation allowance is established through a charge to income tax expense.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releases income tax effects from accumulated other comprehensive income when the related pre-tax amounts are reclassified to earnings.</w:t>
      </w:r>
    </w:p>
    <w:p>
      <w:pPr>
        <w:spacing w:after="0" w:line="16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Fair Value Measurements</w:t>
      </w:r>
      <w:r>
        <w:rPr>
          <w:rFonts w:ascii="Times New Roman" w:cs="Times New Roman" w:eastAsia="Times New Roman" w:hAnsi="Times New Roman"/>
          <w:sz w:val="18"/>
          <w:szCs w:val="18"/>
          <w:color w:val="auto"/>
        </w:rPr>
        <w:t>: Fair value is defined as the price that would be received to sell an asset or paid to transfer a liability in an orderly transaction between market participants on the measurement date. The accounting guidance for fair value measurement establishes a fair value hierarchy that prioritizes the inputs to valuation techniques used to measure fair value into three broad levels, including:</w:t>
      </w:r>
    </w:p>
    <w:p>
      <w:pPr>
        <w:spacing w:after="0" w:line="127" w:lineRule="exact"/>
        <w:rPr>
          <w:sz w:val="20"/>
          <w:szCs w:val="20"/>
          <w:color w:val="auto"/>
        </w:rPr>
      </w:pPr>
    </w:p>
    <w:p>
      <w:pPr>
        <w:ind w:left="100" w:hanging="95"/>
        <w:spacing w:after="0"/>
        <w:tabs>
          <w:tab w:leader="none" w:pos="1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in active markets for identical assets or liabilities that the entity has the ability to access at the measurement date.</w:t>
      </w:r>
    </w:p>
    <w:p>
      <w:pPr>
        <w:spacing w:after="0" w:line="161" w:lineRule="exact"/>
        <w:rPr>
          <w:rFonts w:ascii="Times New Roman" w:cs="Times New Roman" w:eastAsia="Times New Roman" w:hAnsi="Times New Roman"/>
          <w:sz w:val="18"/>
          <w:szCs w:val="18"/>
          <w:color w:val="auto"/>
        </w:rPr>
      </w:pPr>
    </w:p>
    <w:p>
      <w:pPr>
        <w:ind w:firstLine="5"/>
        <w:spacing w:after="0" w:line="268" w:lineRule="auto"/>
        <w:tabs>
          <w:tab w:leader="none" w:pos="10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Observable inputs other than Level 1 prices such as quoted prices for similar assets or liabilities; quoted prices in markets that are not active; or other inputs that are observable or can be corroborated by observable market data for substantially the full term of the asset or liability.</w:t>
      </w:r>
    </w:p>
    <w:p>
      <w:pPr>
        <w:spacing w:after="0" w:line="116" w:lineRule="exact"/>
        <w:rPr>
          <w:rFonts w:ascii="Times New Roman" w:cs="Times New Roman" w:eastAsia="Times New Roman" w:hAnsi="Times New Roman"/>
          <w:sz w:val="18"/>
          <w:szCs w:val="18"/>
          <w:color w:val="auto"/>
        </w:rPr>
      </w:pPr>
    </w:p>
    <w:p>
      <w:pPr>
        <w:jc w:val="both"/>
        <w:ind w:firstLine="5"/>
        <w:spacing w:after="0" w:line="256" w:lineRule="auto"/>
        <w:tabs>
          <w:tab w:leader="none" w:pos="10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that are supported by little or no market activity and that are significant to the fair value of the asset or liability. Level 3 assets and liabilities include financial instruments whose value is determined using pricing models such as discounted cash flow methodologies, or similar techniques, as well as instruments for which the determination of fair value requires significant management judgment or estimation.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Significant Accounting Policies (continued)</w:t>
      </w:r>
    </w:p>
    <w:p>
      <w:pPr>
        <w:spacing w:after="0" w:line="3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Classification in the hierarchy is based upon the lowest level of input that is significant to the fair value measurement of the asset or liability. See Note 16, “Fair Value Measurements,” for further details regarding the Company’s methods and assumptions used to estimate the fair values of the Company’s financial assets and liabilities.</w:t>
      </w:r>
    </w:p>
    <w:p>
      <w:pPr>
        <w:spacing w:after="0" w:line="1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u w:val="single" w:color="auto"/>
          <w:color w:val="auto"/>
        </w:rPr>
        <w:t>Derivative Instruments and Hedging Activities</w:t>
      </w:r>
      <w:r>
        <w:rPr>
          <w:rFonts w:ascii="Times New Roman" w:cs="Times New Roman" w:eastAsia="Times New Roman" w:hAnsi="Times New Roman"/>
          <w:sz w:val="18"/>
          <w:szCs w:val="18"/>
          <w:color w:val="auto"/>
        </w:rPr>
        <w:t>: The Company utilizes derivative financial instruments as part of its ongoing efforts to manage its interest rate risk exposure as well as to meet the needs of its customers. Derivative financial instruments are included in the Consolidated Balance Sheets line item “Other assets” or “Other liabilities” at fair value. Cash flows related to derivative assets and liabilities are reported in the net change in other assets or liabilities as operating activities in the Consolidated Statements of Cash Flows.</w:t>
      </w:r>
    </w:p>
    <w:p>
      <w:pPr>
        <w:spacing w:after="0" w:line="131"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Cash flow hedges are utilized to mitigate the exposure to variability in expected future cash flows or other types of forecasted transactions. For the Company’s derivatives designated as cash flow hedges, changes in the fair value of cash flow hedges are, to the extent that the hedging relationship is effective, recorded as other comprehensive income and are subsequently recognized in earnings at the same time that the hedged item is recognized in earnings.</w:t>
      </w:r>
    </w:p>
    <w:p>
      <w:pPr>
        <w:spacing w:after="0" w:line="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Fair value hedges are utilized to mitigate the exposure to future interest rate risk. For the Company’s derivatives designated as fair value hedges, the gain or loss on the derivative instrument as well as the offsetting loss or gain on the hedged liability attributable to the hedged risk are recognized in current earnings. The gain or loss on the derivative instrument is presented on the same line item as the earnings effect of the hedged item.</w:t>
      </w:r>
    </w:p>
    <w:p>
      <w:pPr>
        <w:spacing w:after="0" w:line="1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also utilizes derivative instruments that are not designated as hedging instruments. The Company enters into interest rate cap and/or floor agreements with its customers and then enters into an offsetting derivative contract position with other financial institutions to mitigate the interest rate risk associated with these customer contracts. Because these derivative instruments are not designated as hedging instruments, changes in the fair value of the derivative instruments are recognized currently in earnings and are reflected under the line item “Interest income on loans” on the Consolidated Statements of Income.</w:t>
      </w:r>
    </w:p>
    <w:p>
      <w:pPr>
        <w:spacing w:after="0" w:line="1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enters into interest rate lock commitments on certain residential mortgage loans with its customers to mitigate the interest rate risk associated with the commitments to fund fixed-rate mortgage loans. Under such commitments, interest rates for a mortgage loan are typically locked in for up to 45 days with the customer. These interest rate lock commitments are recorded at fair value in the Company’s Consolidated Balance Sheets. Gains and losses arising from changes in the valuation of the commitments are recognized currently in earnings and are reflected under the line item “Mortgage banking income” on the Consolidated Statements of Income.</w:t>
      </w:r>
    </w:p>
    <w:p>
      <w:pPr>
        <w:spacing w:after="0" w:line="13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Company utilizes two methods to deliver mortgage loans to be sold to an investor. Under a “best efforts” sales agreement, the Company enters into a sales agreement with an investor in the secondary market to sell the loan when an interest rate lock commitment is entered into with a customer, as described above. Under a “best efforts” sales agreement, the Company is obligated to sell the mortgage loan to the investor only if the loan is closed and funded. Thus, the Company will not incur any liability to an investor if the mortgage loan commitment in the pipeline fails to close. Under a “mandatory delivery” sales agreement, the Company commits to deliver a certain principal amount of mortgage loans to an investor at a specified price and delivery date. Penalties are paid to the investor should the Company fail to satisfy the contract. These types of mortgage loan commitments are recorded at fair value on the Company’s Consolidated Balance Sheets. Gains and losses arising from changes in the valuation of these commitments are recognized currently in earnings and are reflected under the line item “Mortgage banking income” on the Consolidated Statements of Income.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Treasury Stock</w:t>
      </w:r>
      <w:r>
        <w:rPr>
          <w:rFonts w:ascii="Times New Roman" w:cs="Times New Roman" w:eastAsia="Times New Roman" w:hAnsi="Times New Roman"/>
          <w:sz w:val="18"/>
          <w:szCs w:val="18"/>
          <w:color w:val="auto"/>
        </w:rPr>
        <w:t>: Treasury stock is recorded at cost. Shares held in treasury are authorized but unissued shares.</w:t>
      </w:r>
    </w:p>
    <w:p>
      <w:pPr>
        <w:spacing w:after="0" w:line="1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u w:val="single" w:color="auto"/>
          <w:color w:val="auto"/>
        </w:rPr>
        <w:t>Retirement Plans</w:t>
      </w:r>
      <w:r>
        <w:rPr>
          <w:rFonts w:ascii="Times New Roman" w:cs="Times New Roman" w:eastAsia="Times New Roman" w:hAnsi="Times New Roman"/>
          <w:sz w:val="18"/>
          <w:szCs w:val="18"/>
          <w:color w:val="auto"/>
        </w:rPr>
        <w:t>: The Company sponsors a noncontributory pension plan and provides retiree medical benefits for certain employees. The Company’s independent actuary firm prepares actuarial valuations of pension cost and obligation, using assumptions and estimates. Expense related to the plans is included under the line item “Salaries and employee benefits” on the Consolidated Statements of Income. Actuarial gains and losses are recognized in accumulated other comprehensive income, net of tax, until they are amortized as a component of plan expense. See Note 13, “Employee Benefit and Deferred Compensation Plans,” for further details regarding the Company’s retirement plans.</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Stock-Based Compensation</w:t>
      </w:r>
      <w:r>
        <w:rPr>
          <w:rFonts w:ascii="Times New Roman" w:cs="Times New Roman" w:eastAsia="Times New Roman" w:hAnsi="Times New Roman"/>
          <w:sz w:val="18"/>
          <w:szCs w:val="18"/>
          <w:color w:val="auto"/>
        </w:rPr>
        <w:t>: Compensation expense for option grants and restricted stock awards is determined based on the estimated fair value of the stock options and restricted stock on the applicable grant or award date and is recognized over the respective awards’ vesting period. The Company has elected to account for forfeitures in compensation cost when they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Significant Accounting Policies (continued)</w:t>
      </w:r>
    </w:p>
    <w:p>
      <w:pPr>
        <w:spacing w:after="0" w:line="3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utilizes the Black-Scholes model for determining fair value of stock options granted. Expense associated with the Company’s stock-based compensation is included under the line item “Salaries and employee benefits” on the Consolidated Statements of Income. See Note 13, “Employee Benefit and Deferred Compensation Plans,” for further details regarding the Company’s stock-based compensation.</w:t>
      </w:r>
    </w:p>
    <w:p>
      <w:pPr>
        <w:spacing w:after="0" w:line="1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u w:val="single" w:color="auto"/>
          <w:color w:val="auto"/>
        </w:rPr>
        <w:t>Earnings Per Common Share</w:t>
      </w:r>
      <w:r>
        <w:rPr>
          <w:rFonts w:ascii="Times New Roman" w:cs="Times New Roman" w:eastAsia="Times New Roman" w:hAnsi="Times New Roman"/>
          <w:sz w:val="18"/>
          <w:szCs w:val="18"/>
          <w:color w:val="auto"/>
        </w:rPr>
        <w:t>: Basic net income per common share is calculated by dividing net income by the weighted-average number of common shares outstanding for the period. Diluted net income per common share reflects the pro forma dilution of shares outstanding, assuming nonvested restricted stock awards, whose vesting is subject to future service requirements, were outstanding common shares as of the awards’ respective grant dates, calculated in accordance with the treasury method (the Company had no stock options outstanding in 2025, 2024 or 2023). See Note 18, “Net Income Per Common Share,” for the reconciliation of the numerators and denominators of the basic and diluted earnings per share computations.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Impact of Recently-Issued Accounting Standards and Pronouncements</w:t>
      </w:r>
      <w:r>
        <w:rPr>
          <w:rFonts w:ascii="Times New Roman" w:cs="Times New Roman" w:eastAsia="Times New Roman" w:hAnsi="Times New Roman"/>
          <w:sz w:val="18"/>
          <w:szCs w:val="18"/>
          <w:color w:val="auto"/>
        </w:rPr>
        <w:t>:</w:t>
      </w:r>
    </w:p>
    <w:p>
      <w:pPr>
        <w:spacing w:after="0" w:line="2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 xml:space="preserve">In December 2023, FASB issued Accounting Standards Update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which requires disaggregated information about a reporting entity’s effective tax rate reconciliation as well as information on income taxes paid. Entities are also required to disclose income/(loss) from continuing operations before income tax expense/(benefit) disaggregated between domestic and foreign, as well as income tax expense/(benefit) from continuing operations disaggregated by federal, state and foreign. ASU 2023-09 was adopted on January 1, 2025 and such required disclosures have been incorporated herein on a prospective basis. The adoption of this ASU did not have a material impact on the Company’s financial statements beyond the additional required disclosures.</w:t>
      </w:r>
    </w:p>
    <w:p>
      <w:pPr>
        <w:spacing w:after="0" w:line="13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 xml:space="preserve">In November 2024, FASB issued ASU 2024-03, </w:t>
      </w:r>
      <w:r>
        <w:rPr>
          <w:rFonts w:ascii="Times New Roman" w:cs="Times New Roman" w:eastAsia="Times New Roman" w:hAnsi="Times New Roman"/>
          <w:sz w:val="18"/>
          <w:szCs w:val="18"/>
          <w:i w:val="1"/>
          <w:iCs w:val="1"/>
          <w:color w:val="auto"/>
        </w:rPr>
        <w:t xml:space="preserve">“Income Statement - Reporting Comprehensive Income - Expense Disaggregation Disclosures (Subtopic 220-40): Disaggregation of Income Statement Expenses” </w:t>
      </w:r>
      <w:r>
        <w:rPr>
          <w:rFonts w:ascii="Times New Roman" w:cs="Times New Roman" w:eastAsia="Times New Roman" w:hAnsi="Times New Roman"/>
          <w:sz w:val="18"/>
          <w:szCs w:val="18"/>
          <w:color w:val="auto"/>
        </w:rPr>
        <w:t>(“ASU 2024-03”), which requires public business entities to provide additional disaggregated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about certain income statement expense captions in the notes to the financial statements. The standard requires disclosure of specified natural expense categories, such as employee compensation, depreciation, and intangible asset amortization, within relevant expense captions, as well as qualitative descriptions of other amounts not separately disaggregated. The guidance is intended to provide investors with more detailed information about the components of an entity’s expenses. ASU 2024-03 will be effective January 1, 2027, and is not expected to have an impact on the Company’s consolidated financial position or results of operations but will result in expanded disclosures.</w:t>
      </w:r>
    </w:p>
    <w:p>
      <w:pPr>
        <w:spacing w:after="0" w:line="13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In November 2025, FASB issued ASU 2025-08, </w:t>
      </w:r>
      <w:r>
        <w:rPr>
          <w:rFonts w:ascii="Times New Roman" w:cs="Times New Roman" w:eastAsia="Times New Roman" w:hAnsi="Times New Roman"/>
          <w:sz w:val="18"/>
          <w:szCs w:val="18"/>
          <w:i w:val="1"/>
          <w:iCs w:val="1"/>
          <w:color w:val="auto"/>
        </w:rPr>
        <w:t>“Financial Instruments - Credit Losses (Topic 326): Purchased Loans”</w:t>
      </w:r>
      <w:r>
        <w:rPr>
          <w:rFonts w:ascii="Times New Roman" w:cs="Times New Roman" w:eastAsia="Times New Roman" w:hAnsi="Times New Roman"/>
          <w:sz w:val="18"/>
          <w:szCs w:val="18"/>
          <w:color w:val="auto"/>
        </w:rPr>
        <w:t xml:space="preserve"> (“ASU 2025-08”), which amends the guidance on accounting for purchased loans under the current expected credit losses model. The amendments clarify and refine the measurement and recognition requirements for purchased financial assets with credit deterioration and other purchased loans, including guidance on determining the initial allowance for credit losses, the treatment of noncredit discounts and premiums, and subsequent measurement considerations. The standard is intended to improve consistency in practice and reduce complexity in applying the CECL model to purchased loan portfolios. ASU 2025-08 will be effective January 1, 2027, and shall be applied prospectively. The Company is currently evaluating the impact of this guidance on its consolidated financial statements and related disclosures, including the potential effects on the allowance for credit losses and net interest income. The actual impact will depend on the volume and characteristics of loan portfolios purchased after the effective date.</w:t>
      </w:r>
    </w:p>
    <w:p>
      <w:pPr>
        <w:spacing w:after="0" w:line="13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 xml:space="preserve">In November 2025, FASB issued ASU 2025-09, </w:t>
      </w:r>
      <w:r>
        <w:rPr>
          <w:rFonts w:ascii="Times New Roman" w:cs="Times New Roman" w:eastAsia="Times New Roman" w:hAnsi="Times New Roman"/>
          <w:sz w:val="16"/>
          <w:szCs w:val="16"/>
          <w:i w:val="1"/>
          <w:iCs w:val="1"/>
          <w:color w:val="auto"/>
        </w:rPr>
        <w:t>“Derivatives and Hedging (Topic 815): Hedge Accounting Improvements”</w:t>
      </w:r>
      <w:r>
        <w:rPr>
          <w:rFonts w:ascii="Times New Roman" w:cs="Times New Roman" w:eastAsia="Times New Roman" w:hAnsi="Times New Roman"/>
          <w:sz w:val="16"/>
          <w:szCs w:val="16"/>
          <w:color w:val="auto"/>
        </w:rPr>
        <w:t xml:space="preserve"> (“ASU 2025-09”), which enables entities to apply hedge accounting to a greater number of highly effective economic hedges in the following areas: (1) similar risk assessment for cash flow hedges, (2) hedging forecasted interest payments on choose-your-rate debt instruments, (3) cash flow hedges of nonfinancial forecasted transactions, (4) net written options as hedging instruments, and (5) foreign-currency-denominated debt instrument as hedging instrument and hedged item (dual hedge). ASU 2025-09 will be effective January 1, 2028, and is not expected to have a material impact on the Company's consolidated financial position or results of operations, but it may affect the timing and presentation of gains and losses related to hedging activities and result in expanded disclosures.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2025, FASB issued ASU 2025-10, “Interim Reporting (Topic 270): Narrow-Scope Improvements” (“ASU 2025-10”), which clarifies current interim reporting requirements and the applicability of Topic 270 by providing a comprehensive list of interim disclosures required by GAAP. ASU 2025-10 will be effective January 1, 2028 and is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Significant Accounting Policies (continued)</w:t>
      </w:r>
    </w:p>
    <w:p>
      <w:pPr>
        <w:spacing w:after="0" w:line="34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expected to have a significant impact on the Company’s consolidated financial position or results of operations, but it may result in expanded or condensed interim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Mergers and Acquisitions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per share data)</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The First Bancshares, Inc. (“The First”)</w:t>
      </w:r>
    </w:p>
    <w:p>
      <w:pPr>
        <w:spacing w:after="0" w:line="16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Effective April 1, 2025, the Company completed its acquisition by merger of The First, the parent company of The First Bank, in a transaction valued at approximately $1,052,690. The Company issued 30,811,851 shares of common stock and paid approximately $1,869, net of tax benefit, to The First stock option holders for 100% of the voting equity interest in The First. 426,321 shares of unvested restricted stock awards of The First were assumed and converted into restricted stock awards of Renasant, subject to the same terms and conditions. At closing, The First merged with and into the Company, with the Company the surviving corporation in the merger; immediately thereafter, The First Bank merged with and into Renasant Bank, with Renasant Bank the surviving banking corporation in the merger. Before the merger, The First operated 116 banking locations throughout Louisiana, Mississippi, Alabama, Georgia and Florida. The Company incurred transaction costs of $49,331 during the year ended December 31, 2025. These transaction costs are reported in the line item “Merger and conversion-related expenses” in the Consolidated Statements of Income.</w:t>
      </w:r>
    </w:p>
    <w:p>
      <w:pPr>
        <w:spacing w:after="0" w:line="21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transaction was accounted for using the acquisition method of accounting and, accordingly, assets acquired and liabilities assumed were recorded at estimated fair values as of the acquisition date. The Company recorded approximately $583,672 in intangible assets, which consist of goodwill of $418,196, a core deposit intangible of $165,476 and a customer relationship intangible of $5,866 associated with Southwest Georgia Insurance Services, Inc. (“SGIS”), The First’s wholly-owned insurance subsidiary. Goodwill resulted from a combination of revenue enhancements from expansion in existing markets and efficiencies resulting from operational synergies. As a result of various measurement period adjustments identified during the third and fourth quarters of 2025, the estimated fair value of goodwill as of the acquisition date decreased $12,688 from $430,884 to $418,196. The goodwill is not deductible for income tax purposes. The fair value of the core deposit intangible is being amortized over the estimated useful life, currently expected to be approximately 10 years. On December 31, 2025, substantially all of the assets and liabilities of SGIS, including the customer relationship intangible, were sold, with no gain or loss recognized on the sale. The calculation of goodwill is subject to change as additional information, specifically regarding final valuations of a few properties included in premises and equipment, becomes available during the one-year measurement period.</w:t>
      </w:r>
    </w:p>
    <w:p>
      <w:pPr>
        <w:spacing w:after="0" w:line="1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assumed the outstanding short-term borrowings and long-term debt of The First. Short-term borrowings consisted of $298,250 in short-term advances from the Federal Home Loan Bank. Long-term debt consisted of $95,262 and $25,653 in subordinated notes and junior subordinated debentures, respectively.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calculation of the purchase price in connection with the Company’s merger with The First.</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08"/>
        </w:trPr>
        <w:tc>
          <w:tcPr>
            <w:tcW w:w="9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Purchase Price:</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4"/>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issued to common shareholders, excluding unvested restricted stock awards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30,811,851</w:t>
            </w:r>
          </w:p>
        </w:tc>
      </w:tr>
      <w:tr>
        <w:trPr>
          <w:trHeight w:val="224"/>
        </w:trPr>
        <w:tc>
          <w:tcPr>
            <w:tcW w:w="9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Purchase price per share</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33.93</w:t>
            </w:r>
          </w:p>
        </w:tc>
      </w:tr>
      <w:tr>
        <w:trPr>
          <w:trHeight w:val="217"/>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Value of stock paid</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1,045,446</w:t>
            </w:r>
          </w:p>
        </w:tc>
      </w:tr>
      <w:tr>
        <w:trPr>
          <w:trHeight w:val="224"/>
        </w:trPr>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converted unvested restricted stock awards for pre-combination service</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5,375</w:t>
            </w:r>
          </w:p>
        </w:tc>
      </w:tr>
      <w:tr>
        <w:trPr>
          <w:trHeight w:val="224"/>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settlement for stock options, net of tax benefit</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w:t>
            </w:r>
          </w:p>
        </w:tc>
      </w:tr>
      <w:tr>
        <w:trPr>
          <w:trHeight w:val="217"/>
        </w:trPr>
        <w:tc>
          <w:tcPr>
            <w:tcW w:w="9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Purchase Price</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1,052,690</w:t>
            </w:r>
          </w:p>
        </w:tc>
      </w:tr>
      <w:tr>
        <w:trPr>
          <w:trHeight w:val="20"/>
        </w:trPr>
        <w:tc>
          <w:tcPr>
            <w:tcW w:w="9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Mergers and Acquisitions (continued)</w:t>
      </w:r>
    </w:p>
    <w:p>
      <w:pPr>
        <w:spacing w:after="0" w:line="34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The following table summarizes the preliminary fair value on April 1, 2025 of assets acquired and liabilities assumed on that date in connection with the merger with The First:</w:t>
      </w:r>
    </w:p>
    <w:tbl>
      <w:tblPr>
        <w:tblLayout w:type="fixed"/>
        <w:tblInd w:w="0" w:type="dxa"/>
        <w:tblCellMar>
          <w:top w:w="0" w:type="dxa"/>
          <w:left w:w="0" w:type="dxa"/>
          <w:bottom w:w="0" w:type="dxa"/>
          <w:right w:w="0" w:type="dxa"/>
        </w:tblCellMar>
      </w:tblPr>
      <w:tr>
        <w:trPr>
          <w:trHeight w:val="180"/>
        </w:trPr>
        <w:tc>
          <w:tcPr>
            <w:tcW w:w="6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8"/>
                <w:szCs w:val="18"/>
                <w:b w:val="1"/>
                <w:bCs w:val="1"/>
                <w:color w:val="auto"/>
                <w:w w:val="98"/>
              </w:rPr>
              <w:t>Preliminary Fair</w:t>
            </w:r>
          </w:p>
        </w:tc>
        <w:tc>
          <w:tcPr>
            <w:tcW w:w="160" w:type="dxa"/>
            <w:vAlign w:val="bottom"/>
          </w:tcPr>
          <w:p>
            <w:pPr>
              <w:spacing w:after="0"/>
              <w:rPr>
                <w:sz w:val="15"/>
                <w:szCs w:val="15"/>
                <w:color w:val="auto"/>
              </w:rPr>
            </w:pPr>
          </w:p>
        </w:tc>
        <w:tc>
          <w:tcPr>
            <w:tcW w:w="14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Measurement</w:t>
            </w:r>
          </w:p>
        </w:tc>
        <w:tc>
          <w:tcPr>
            <w:tcW w:w="120" w:type="dxa"/>
            <w:vAlign w:val="bottom"/>
          </w:tcPr>
          <w:p>
            <w:pPr>
              <w:spacing w:after="0"/>
              <w:rPr>
                <w:sz w:val="15"/>
                <w:szCs w:val="15"/>
                <w:color w:val="auto"/>
              </w:rPr>
            </w:pPr>
          </w:p>
        </w:tc>
        <w:tc>
          <w:tcPr>
            <w:tcW w:w="140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4"/>
              </w:rPr>
              <w:t>Fair Value of Net</w:t>
            </w:r>
          </w:p>
        </w:tc>
        <w:tc>
          <w:tcPr>
            <w:tcW w:w="0" w:type="dxa"/>
            <w:vAlign w:val="bottom"/>
          </w:tcPr>
          <w:p>
            <w:pPr>
              <w:spacing w:after="0"/>
              <w:rPr>
                <w:sz w:val="1"/>
                <w:szCs w:val="1"/>
                <w:color w:val="auto"/>
              </w:rPr>
            </w:pPr>
          </w:p>
        </w:tc>
      </w:tr>
      <w:tr>
        <w:trPr>
          <w:trHeight w:val="171"/>
        </w:trPr>
        <w:tc>
          <w:tcPr>
            <w:tcW w:w="6420" w:type="dxa"/>
            <w:vAlign w:val="bottom"/>
          </w:tcPr>
          <w:p>
            <w:pPr>
              <w:spacing w:after="0"/>
              <w:rPr>
                <w:sz w:val="14"/>
                <w:szCs w:val="14"/>
                <w:color w:val="auto"/>
              </w:rPr>
            </w:pPr>
          </w:p>
        </w:tc>
        <w:tc>
          <w:tcPr>
            <w:tcW w:w="1700" w:type="dxa"/>
            <w:vAlign w:val="bottom"/>
            <w:gridSpan w:val="3"/>
          </w:tcPr>
          <w:p>
            <w:pPr>
              <w:jc w:val="center"/>
              <w:ind w:right="100"/>
              <w:spacing w:after="0" w:line="171" w:lineRule="exact"/>
              <w:rPr>
                <w:sz w:val="20"/>
                <w:szCs w:val="20"/>
                <w:color w:val="auto"/>
              </w:rPr>
            </w:pPr>
            <w:r>
              <w:rPr>
                <w:rFonts w:ascii="Times New Roman" w:cs="Times New Roman" w:eastAsia="Times New Roman" w:hAnsi="Times New Roman"/>
                <w:sz w:val="18"/>
                <w:szCs w:val="18"/>
                <w:b w:val="1"/>
                <w:bCs w:val="1"/>
                <w:color w:val="auto"/>
                <w:w w:val="96"/>
              </w:rPr>
              <w:t>Value of Net Assets</w:t>
            </w:r>
          </w:p>
        </w:tc>
        <w:tc>
          <w:tcPr>
            <w:tcW w:w="16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6420" w:type="dxa"/>
            <w:vAlign w:val="bottom"/>
          </w:tcPr>
          <w:p>
            <w:pPr>
              <w:spacing w:after="0"/>
              <w:rPr>
                <w:sz w:val="16"/>
                <w:szCs w:val="16"/>
                <w:color w:val="auto"/>
              </w:rPr>
            </w:pPr>
          </w:p>
        </w:tc>
        <w:tc>
          <w:tcPr>
            <w:tcW w:w="1700" w:type="dxa"/>
            <w:vAlign w:val="bottom"/>
            <w:gridSpan w:val="3"/>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7"/>
              </w:rPr>
              <w:t>Acquired at Date of</w:t>
            </w:r>
          </w:p>
        </w:tc>
        <w:tc>
          <w:tcPr>
            <w:tcW w:w="160" w:type="dxa"/>
            <w:vAlign w:val="bottom"/>
          </w:tcPr>
          <w:p>
            <w:pPr>
              <w:spacing w:after="0"/>
              <w:rPr>
                <w:sz w:val="16"/>
                <w:szCs w:val="16"/>
                <w:color w:val="auto"/>
              </w:rPr>
            </w:pPr>
          </w:p>
        </w:tc>
        <w:tc>
          <w:tcPr>
            <w:tcW w:w="144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7"/>
              </w:rPr>
              <w:t>Period</w:t>
            </w:r>
          </w:p>
        </w:tc>
        <w:tc>
          <w:tcPr>
            <w:tcW w:w="1520" w:type="dxa"/>
            <w:vAlign w:val="bottom"/>
            <w:gridSpan w:val="2"/>
          </w:tcPr>
          <w:p>
            <w:pPr>
              <w:jc w:val="right"/>
              <w:spacing w:after="0" w:line="184" w:lineRule="exact"/>
              <w:rPr>
                <w:sz w:val="20"/>
                <w:szCs w:val="20"/>
                <w:color w:val="auto"/>
              </w:rPr>
            </w:pPr>
            <w:r>
              <w:rPr>
                <w:rFonts w:ascii="Times New Roman" w:cs="Times New Roman" w:eastAsia="Times New Roman" w:hAnsi="Times New Roman"/>
                <w:sz w:val="18"/>
                <w:szCs w:val="18"/>
                <w:b w:val="1"/>
                <w:bCs w:val="1"/>
                <w:color w:val="auto"/>
                <w:w w:val="99"/>
              </w:rPr>
              <w:t>Assets Acquired at</w:t>
            </w:r>
          </w:p>
        </w:tc>
        <w:tc>
          <w:tcPr>
            <w:tcW w:w="0" w:type="dxa"/>
            <w:vAlign w:val="bottom"/>
          </w:tcPr>
          <w:p>
            <w:pPr>
              <w:spacing w:after="0"/>
              <w:rPr>
                <w:sz w:val="1"/>
                <w:szCs w:val="1"/>
                <w:color w:val="auto"/>
              </w:rPr>
            </w:pPr>
          </w:p>
        </w:tc>
      </w:tr>
      <w:tr>
        <w:trPr>
          <w:trHeight w:val="224"/>
        </w:trPr>
        <w:tc>
          <w:tcPr>
            <w:tcW w:w="6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Acquisition</w:t>
            </w:r>
          </w:p>
        </w:tc>
        <w:tc>
          <w:tcPr>
            <w:tcW w:w="160" w:type="dxa"/>
            <w:vAlign w:val="bottom"/>
          </w:tcPr>
          <w:p>
            <w:pPr>
              <w:spacing w:after="0"/>
              <w:rPr>
                <w:sz w:val="19"/>
                <w:szCs w:val="19"/>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5"/>
              </w:rPr>
              <w:t>Adjustments</w:t>
            </w: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Date of Acquisition</w:t>
            </w:r>
          </w:p>
        </w:tc>
        <w:tc>
          <w:tcPr>
            <w:tcW w:w="0" w:type="dxa"/>
            <w:vAlign w:val="bottom"/>
          </w:tcPr>
          <w:p>
            <w:pPr>
              <w:spacing w:after="0"/>
              <w:rPr>
                <w:sz w:val="1"/>
                <w:szCs w:val="1"/>
                <w:color w:val="auto"/>
              </w:rPr>
            </w:pPr>
          </w:p>
        </w:tc>
      </w:tr>
      <w:tr>
        <w:trPr>
          <w:trHeight w:val="217"/>
        </w:trPr>
        <w:tc>
          <w:tcPr>
            <w:tcW w:w="6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263,352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263,352</w:t>
            </w:r>
          </w:p>
        </w:tc>
        <w:tc>
          <w:tcPr>
            <w:tcW w:w="0" w:type="dxa"/>
            <w:vAlign w:val="bottom"/>
          </w:tcPr>
          <w:p>
            <w:pPr>
              <w:spacing w:after="0"/>
              <w:rPr>
                <w:sz w:val="1"/>
                <w:szCs w:val="1"/>
                <w:color w:val="auto"/>
              </w:rPr>
            </w:pPr>
          </w:p>
        </w:tc>
      </w:tr>
      <w:tr>
        <w:trPr>
          <w:trHeight w:val="224"/>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1,457,203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1,457,377</w:t>
            </w:r>
          </w:p>
        </w:tc>
        <w:tc>
          <w:tcPr>
            <w:tcW w:w="0" w:type="dxa"/>
            <w:vAlign w:val="bottom"/>
          </w:tcPr>
          <w:p>
            <w:pPr>
              <w:spacing w:after="0"/>
              <w:rPr>
                <w:sz w:val="1"/>
                <w:szCs w:val="1"/>
                <w:color w:val="auto"/>
              </w:rPr>
            </w:pPr>
          </w:p>
        </w:tc>
      </w:tr>
      <w:tr>
        <w:trPr>
          <w:trHeight w:val="224"/>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including loans held for sale</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5,174,903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5,173,334</w:t>
            </w:r>
          </w:p>
        </w:tc>
        <w:tc>
          <w:tcPr>
            <w:tcW w:w="0" w:type="dxa"/>
            <w:vAlign w:val="bottom"/>
          </w:tcPr>
          <w:p>
            <w:pPr>
              <w:spacing w:after="0"/>
              <w:rPr>
                <w:sz w:val="1"/>
                <w:szCs w:val="1"/>
                <w:color w:val="auto"/>
              </w:rPr>
            </w:pPr>
          </w:p>
        </w:tc>
      </w:tr>
      <w:tr>
        <w:trPr>
          <w:trHeight w:val="224"/>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Premises and equipment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173,174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181,754</w:t>
            </w:r>
          </w:p>
        </w:tc>
        <w:tc>
          <w:tcPr>
            <w:tcW w:w="0" w:type="dxa"/>
            <w:vAlign w:val="bottom"/>
          </w:tcPr>
          <w:p>
            <w:pPr>
              <w:spacing w:after="0"/>
              <w:rPr>
                <w:sz w:val="1"/>
                <w:szCs w:val="1"/>
                <w:color w:val="auto"/>
              </w:rPr>
            </w:pPr>
          </w:p>
        </w:tc>
      </w:tr>
      <w:tr>
        <w:trPr>
          <w:trHeight w:val="224"/>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Bank-owned life insurance</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146,601</w:t>
            </w:r>
          </w:p>
        </w:tc>
        <w:tc>
          <w:tcPr>
            <w:tcW w:w="0" w:type="dxa"/>
            <w:vAlign w:val="bottom"/>
          </w:tcPr>
          <w:p>
            <w:pPr>
              <w:spacing w:after="0"/>
              <w:rPr>
                <w:sz w:val="1"/>
                <w:szCs w:val="1"/>
                <w:color w:val="auto"/>
              </w:rPr>
            </w:pPr>
          </w:p>
        </w:tc>
      </w:tr>
      <w:tr>
        <w:trPr>
          <w:trHeight w:val="224"/>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real estate owned</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11,032</w:t>
            </w:r>
          </w:p>
        </w:tc>
        <w:tc>
          <w:tcPr>
            <w:tcW w:w="0" w:type="dxa"/>
            <w:vAlign w:val="bottom"/>
          </w:tcPr>
          <w:p>
            <w:pPr>
              <w:spacing w:after="0"/>
              <w:rPr>
                <w:sz w:val="1"/>
                <w:szCs w:val="1"/>
                <w:color w:val="auto"/>
              </w:rPr>
            </w:pPr>
          </w:p>
        </w:tc>
      </w:tr>
      <w:tr>
        <w:trPr>
          <w:trHeight w:val="224"/>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165,476</w:t>
            </w:r>
          </w:p>
        </w:tc>
        <w:tc>
          <w:tcPr>
            <w:tcW w:w="0" w:type="dxa"/>
            <w:vAlign w:val="bottom"/>
          </w:tcPr>
          <w:p>
            <w:pPr>
              <w:spacing w:after="0"/>
              <w:rPr>
                <w:sz w:val="1"/>
                <w:szCs w:val="1"/>
                <w:color w:val="auto"/>
              </w:rPr>
            </w:pPr>
          </w:p>
        </w:tc>
      </w:tr>
      <w:tr>
        <w:trPr>
          <w:trHeight w:val="224"/>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173,359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173,885</w:t>
            </w:r>
          </w:p>
        </w:tc>
        <w:tc>
          <w:tcPr>
            <w:tcW w:w="0" w:type="dxa"/>
            <w:vAlign w:val="bottom"/>
          </w:tcPr>
          <w:p>
            <w:pPr>
              <w:spacing w:after="0"/>
              <w:rPr>
                <w:sz w:val="1"/>
                <w:szCs w:val="1"/>
                <w:color w:val="auto"/>
              </w:rPr>
            </w:pPr>
          </w:p>
        </w:tc>
      </w:tr>
      <w:tr>
        <w:trPr>
          <w:trHeight w:val="242"/>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identifiable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7,559,311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7,572,811</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6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6,449,393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6,449,393</w:t>
            </w:r>
          </w:p>
        </w:tc>
        <w:tc>
          <w:tcPr>
            <w:tcW w:w="0" w:type="dxa"/>
            <w:vAlign w:val="bottom"/>
          </w:tcPr>
          <w:p>
            <w:pPr>
              <w:spacing w:after="0"/>
              <w:rPr>
                <w:sz w:val="1"/>
                <w:szCs w:val="1"/>
                <w:color w:val="auto"/>
              </w:rPr>
            </w:pPr>
          </w:p>
        </w:tc>
      </w:tr>
      <w:tr>
        <w:trPr>
          <w:trHeight w:val="224"/>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419,165</w:t>
            </w:r>
          </w:p>
        </w:tc>
        <w:tc>
          <w:tcPr>
            <w:tcW w:w="0" w:type="dxa"/>
            <w:vAlign w:val="bottom"/>
          </w:tcPr>
          <w:p>
            <w:pPr>
              <w:spacing w:after="0"/>
              <w:rPr>
                <w:sz w:val="1"/>
                <w:szCs w:val="1"/>
                <w:color w:val="auto"/>
              </w:rPr>
            </w:pPr>
          </w:p>
        </w:tc>
      </w:tr>
      <w:tr>
        <w:trPr>
          <w:trHeight w:val="224"/>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59,857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69,759</w:t>
            </w:r>
          </w:p>
        </w:tc>
        <w:tc>
          <w:tcPr>
            <w:tcW w:w="0" w:type="dxa"/>
            <w:vAlign w:val="bottom"/>
          </w:tcPr>
          <w:p>
            <w:pPr>
              <w:spacing w:after="0"/>
              <w:rPr>
                <w:sz w:val="1"/>
                <w:szCs w:val="1"/>
                <w:color w:val="auto"/>
              </w:rPr>
            </w:pPr>
          </w:p>
        </w:tc>
      </w:tr>
      <w:tr>
        <w:trPr>
          <w:trHeight w:val="217"/>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6,928,415</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9,902</w:t>
            </w:r>
          </w:p>
        </w:tc>
        <w:tc>
          <w:tcPr>
            <w:tcW w:w="10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6,938,317</w:t>
            </w:r>
          </w:p>
        </w:tc>
        <w:tc>
          <w:tcPr>
            <w:tcW w:w="0" w:type="dxa"/>
            <w:vAlign w:val="bottom"/>
          </w:tcPr>
          <w:p>
            <w:pPr>
              <w:spacing w:after="0"/>
              <w:rPr>
                <w:sz w:val="1"/>
                <w:szCs w:val="1"/>
                <w:color w:val="auto"/>
              </w:rPr>
            </w:pP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64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identifiable assets acquired over liabilities assumed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630,896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3,598</w:t>
            </w:r>
          </w:p>
        </w:tc>
        <w:tc>
          <w:tcPr>
            <w:tcW w:w="1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634,494</w:t>
            </w:r>
          </w:p>
        </w:tc>
        <w:tc>
          <w:tcPr>
            <w:tcW w:w="0" w:type="dxa"/>
            <w:vAlign w:val="bottom"/>
          </w:tcPr>
          <w:p>
            <w:pPr>
              <w:spacing w:after="0"/>
              <w:rPr>
                <w:sz w:val="1"/>
                <w:szCs w:val="1"/>
                <w:color w:val="auto"/>
              </w:rPr>
            </w:pPr>
          </w:p>
        </w:tc>
      </w:tr>
      <w:tr>
        <w:trPr>
          <w:trHeight w:val="224"/>
        </w:trPr>
        <w:tc>
          <w:tcPr>
            <w:tcW w:w="642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Goodwill</w:t>
            </w:r>
            <w:r>
              <w:rPr>
                <w:rFonts w:ascii="Times New Roman" w:cs="Times New Roman" w:eastAsia="Times New Roman" w:hAnsi="Times New Roman"/>
                <w:sz w:val="22"/>
                <w:szCs w:val="22"/>
                <w:color w:val="auto"/>
                <w:vertAlign w:val="superscript"/>
              </w:rPr>
              <w:t>(1)</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430,884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418,196</w:t>
            </w:r>
          </w:p>
        </w:tc>
        <w:tc>
          <w:tcPr>
            <w:tcW w:w="0" w:type="dxa"/>
            <w:vAlign w:val="bottom"/>
          </w:tcPr>
          <w:p>
            <w:pPr>
              <w:spacing w:after="0"/>
              <w:rPr>
                <w:sz w:val="1"/>
                <w:szCs w:val="1"/>
                <w:color w:val="auto"/>
              </w:rPr>
            </w:pPr>
          </w:p>
        </w:tc>
      </w:tr>
      <w:tr>
        <w:trPr>
          <w:trHeight w:val="217"/>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acquired over liabilities assumed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1,061,780</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(9,090)</w:t>
            </w:r>
          </w:p>
        </w:tc>
        <w:tc>
          <w:tcPr>
            <w:tcW w:w="10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1,052,690</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ind w:right="3380" w:firstLine="5"/>
        <w:spacing w:after="0" w:line="539" w:lineRule="auto"/>
        <w:tabs>
          <w:tab w:leader="none" w:pos="248"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goodwill resulting from the merger has been assigned to the Community Banks operating segment. The following table presents additional information related to the acquired loan portfolio at the acquisition date:</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95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April 1, 2025</w:t>
            </w:r>
          </w:p>
        </w:tc>
      </w:tr>
      <w:tr>
        <w:trPr>
          <w:trHeight w:val="204"/>
        </w:trPr>
        <w:tc>
          <w:tcPr>
            <w:tcW w:w="952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Purchased Credit-Deteriorated (“PCD”) loans:</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24"/>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 value</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168,511</w:t>
            </w:r>
          </w:p>
        </w:tc>
      </w:tr>
      <w:tr>
        <w:trPr>
          <w:trHeight w:val="224"/>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at acquisition</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(25,003)</w:t>
            </w:r>
          </w:p>
        </w:tc>
      </w:tr>
      <w:tr>
        <w:trPr>
          <w:trHeight w:val="224"/>
        </w:trPr>
        <w:tc>
          <w:tcPr>
            <w:tcW w:w="9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Non-credit discount</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(4,021)</w:t>
            </w:r>
          </w:p>
        </w:tc>
      </w:tr>
      <w:tr>
        <w:trPr>
          <w:trHeight w:val="242"/>
        </w:trPr>
        <w:tc>
          <w:tcPr>
            <w:tcW w:w="9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on the date of acquisition</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139,487</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09"/>
        </w:trPr>
        <w:tc>
          <w:tcPr>
            <w:tcW w:w="9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24"/>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Non-PCD loans: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4"/>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5,032,996</w:t>
            </w:r>
          </w:p>
        </w:tc>
      </w:tr>
      <w:tr>
        <w:trPr>
          <w:trHeight w:val="224"/>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contractual amounts receivable</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5,233,447</w:t>
            </w:r>
          </w:p>
        </w:tc>
      </w:tr>
      <w:tr>
        <w:trPr>
          <w:trHeight w:val="228"/>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 of contractual cash flows not expected to be collected</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62,190</w:t>
            </w:r>
          </w:p>
        </w:tc>
      </w:tr>
    </w:tbl>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Pro Forma Combined Condensed Consolidated Results of Operations (unaudited)</w:t>
      </w:r>
    </w:p>
    <w:p>
      <w:pPr>
        <w:spacing w:after="0" w:line="1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following unaudited pro forma combined condensed consolidated financial information presents the results of operations for the twelve months ended December 31, 2025 and 2024 of the Company as though the merger with The First had been completed as of January 1, 2024. The unaudited estimated pro forma information combines the historical results of The First with the Company’s historical consolidated results and applies the impact of purchase accounting adjustments such as loan discount accretion, deposit amortization and intangible assets amortization as if the merger was completed as of January 1, 2024. It excludes $20,479 of merger-related expenses and $66,612 of Day 1 acquisition provision expense from the second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Mergers and Acquisitions (continued)</w:t>
      </w:r>
    </w:p>
    <w:p>
      <w:pPr>
        <w:spacing w:after="0" w:line="3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quarter of 2025 and instead includes such expenses in the first quarter of 2024. The pro forma information is not necessarily indicative of what would have occurred had the acquisition taken place on January 1, 2024. The pro forma information does not include the effect of any cost-saving or revenue-enhancing strategies. Other than the aforementioned $20,479 in merger-related expenses, which were attributed to the first quarter of 2024, merger expenses are reflected in the period in which they were incurred.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80" w:type="dxa"/>
            <w:vAlign w:val="bottom"/>
          </w:tcPr>
          <w:p>
            <w:pPr>
              <w:spacing w:after="0"/>
              <w:rPr>
                <w:sz w:val="16"/>
                <w:szCs w:val="16"/>
                <w:color w:val="auto"/>
              </w:rPr>
            </w:pPr>
          </w:p>
        </w:tc>
      </w:tr>
      <w:tr>
        <w:trPr>
          <w:trHeight w:val="197"/>
        </w:trPr>
        <w:tc>
          <w:tcPr>
            <w:tcW w:w="8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6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7"/>
                <w:szCs w:val="17"/>
                <w:color w:val="auto"/>
              </w:rPr>
            </w:pPr>
          </w:p>
        </w:tc>
      </w:tr>
      <w:tr>
        <w:trPr>
          <w:trHeight w:val="24"/>
        </w:trPr>
        <w:tc>
          <w:tcPr>
            <w:tcW w:w="8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4"/>
        </w:trPr>
        <w:tc>
          <w:tcPr>
            <w:tcW w:w="82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income - pro forma</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853,353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835,583</w:t>
            </w:r>
          </w:p>
        </w:tc>
      </w:tr>
      <w:tr>
        <w:trPr>
          <w:trHeight w:val="105"/>
        </w:trPr>
        <w:tc>
          <w:tcPr>
            <w:tcW w:w="8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224"/>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 income - pro forma</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190,414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245,836</w:t>
            </w:r>
          </w:p>
        </w:tc>
      </w:tr>
      <w:tr>
        <w:trPr>
          <w:trHeight w:val="105"/>
        </w:trPr>
        <w:tc>
          <w:tcPr>
            <w:tcW w:w="8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224"/>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 pro forma</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240,043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249,555</w:t>
            </w:r>
          </w:p>
        </w:tc>
      </w:tr>
      <w:tr>
        <w:trPr>
          <w:trHeight w:val="105"/>
        </w:trPr>
        <w:tc>
          <w:tcPr>
            <w:tcW w:w="8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224"/>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 - pro forma:</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4"/>
        </w:trPr>
        <w:tc>
          <w:tcPr>
            <w:tcW w:w="8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24"/>
        </w:trPr>
        <w:tc>
          <w:tcPr>
            <w:tcW w:w="8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bl>
    <w:p>
      <w:pPr>
        <w:spacing w:after="0" w:line="284" w:lineRule="exact"/>
        <w:rPr>
          <w:sz w:val="20"/>
          <w:szCs w:val="20"/>
          <w:color w:val="auto"/>
        </w:rPr>
      </w:pPr>
    </w:p>
    <w:p>
      <w:pPr>
        <w:spacing w:after="0" w:line="332" w:lineRule="auto"/>
        <w:rPr>
          <w:sz w:val="20"/>
          <w:szCs w:val="20"/>
          <w:color w:val="auto"/>
        </w:rPr>
      </w:pPr>
      <w:r>
        <w:rPr>
          <w:rFonts w:ascii="Times New Roman" w:cs="Times New Roman" w:eastAsia="Times New Roman" w:hAnsi="Times New Roman"/>
          <w:sz w:val="16"/>
          <w:szCs w:val="16"/>
          <w:color w:val="auto"/>
        </w:rPr>
        <w:t>Due to the timing of system conversion and the integration of operations into the Company’s existing operations, historical reporting for acquired operations is impracticable, and, therefore, disclosure of the amounts of revenue and expenses of the acquired institution since the acquisition date is impracticable.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Securities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Except Number of Securities)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and fair value of securities available for sale were as follows as of the dates presented: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vMerge w:val="restart"/>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Fair</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5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3"/>
          </w:tcPr>
          <w:p>
            <w:pPr>
              <w:jc w:val="center"/>
              <w:ind w:right="360"/>
              <w:spacing w:after="0" w:line="143"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3"/>
          </w:tcPr>
          <w:p>
            <w:pPr>
              <w:ind w:left="140"/>
              <w:spacing w:after="0" w:line="143"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8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793,154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783,149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706,986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(57,908)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651,904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419,356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404,788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debt securities</w:t>
            </w:r>
          </w:p>
        </w:tc>
        <w:tc>
          <w:tcPr>
            <w:tcW w:w="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349,132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160" w:type="dxa"/>
            <w:vAlign w:val="bottom"/>
          </w:tcPr>
          <w:p>
            <w:pPr>
              <w:spacing w:after="0"/>
              <w:rPr>
                <w:sz w:val="18"/>
                <w:szCs w:val="18"/>
                <w:color w:val="auto"/>
              </w:rPr>
            </w:pPr>
          </w:p>
        </w:tc>
        <w:tc>
          <w:tcPr>
            <w:tcW w:w="280" w:type="dxa"/>
            <w:vAlign w:val="bottom"/>
            <w:tcBorders>
              <w:bottom w:val="single" w:sz="8" w:color="auto"/>
            </w:tcBorders>
            <w:gridSpan w:val="2"/>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2,635,495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gridSpan w:val="2"/>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gridSpan w:val="2"/>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(96,559)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gridSpan w:val="2"/>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2,560,818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5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vMerge w:val="restart"/>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Fair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5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3"/>
          </w:tcPr>
          <w:p>
            <w:pPr>
              <w:jc w:val="center"/>
              <w:ind w:right="300"/>
              <w:spacing w:after="0" w:line="14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3"/>
          </w:tcPr>
          <w:p>
            <w:pPr>
              <w:jc w:val="center"/>
              <w:ind w:right="300"/>
              <w:spacing w:after="0" w:line="14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5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Gains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8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(2,269)</w:t>
            </w:r>
          </w:p>
        </w:tc>
        <w:tc>
          <w:tcPr>
            <w:tcW w:w="80" w:type="dxa"/>
            <w:vAlign w:val="bottom"/>
          </w:tcPr>
          <w:p>
            <w:pPr>
              <w:spacing w:after="0"/>
              <w:rPr>
                <w:sz w:val="19"/>
                <w:szCs w:val="19"/>
                <w:color w:val="auto"/>
              </w:rPr>
            </w:pPr>
          </w:p>
        </w:tc>
        <w:tc>
          <w:tcPr>
            <w:tcW w:w="34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(24,468)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(86,870)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388,516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(21,595)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debt securities</w:t>
            </w:r>
          </w:p>
        </w:tc>
        <w:tc>
          <w:tcPr>
            <w:tcW w:w="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130,175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(2,655)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127,960</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968,927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(138,608)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831,013</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92" w:name="page93"/>
    <w:bookmarkEnd w:id="92"/>
    <w:p>
      <w:pPr>
        <w:jc w:val="center"/>
        <w:ind w:right="-39"/>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Securities (continued)</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and fair value of securities held to maturity were as follows as of the dates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40" w:type="dxa"/>
            <w:vAlign w:val="bottom"/>
          </w:tcPr>
          <w:p>
            <w:pPr>
              <w:spacing w:after="0"/>
              <w:rPr>
                <w:sz w:val="17"/>
                <w:szCs w:val="17"/>
                <w:color w:val="auto"/>
              </w:rPr>
            </w:pPr>
          </w:p>
        </w:tc>
        <w:tc>
          <w:tcPr>
            <w:tcW w:w="1000" w:type="dxa"/>
            <w:vAlign w:val="bottom"/>
            <w:vMerge w:val="restart"/>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171"/>
        </w:trPr>
        <w:tc>
          <w:tcPr>
            <w:tcW w:w="5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60"/>
              <w:spacing w:after="0" w:line="171" w:lineRule="exact"/>
              <w:rPr>
                <w:sz w:val="20"/>
                <w:szCs w:val="20"/>
                <w:color w:val="auto"/>
              </w:rPr>
            </w:pPr>
            <w:r>
              <w:rPr>
                <w:rFonts w:ascii="Times New Roman" w:cs="Times New Roman" w:eastAsia="Times New Roman" w:hAnsi="Times New Roman"/>
                <w:sz w:val="18"/>
                <w:szCs w:val="18"/>
                <w:b w:val="1"/>
                <w:bCs w:val="1"/>
                <w:color w:val="auto"/>
                <w:w w:val="95"/>
              </w:rPr>
              <w:t>Unrealized</w:t>
            </w:r>
          </w:p>
        </w:tc>
        <w:tc>
          <w:tcPr>
            <w:tcW w:w="160" w:type="dxa"/>
            <w:vAlign w:val="bottom"/>
          </w:tcPr>
          <w:p>
            <w:pPr>
              <w:spacing w:after="0"/>
              <w:rPr>
                <w:sz w:val="14"/>
                <w:szCs w:val="14"/>
                <w:color w:val="auto"/>
              </w:rPr>
            </w:pPr>
          </w:p>
        </w:tc>
        <w:tc>
          <w:tcPr>
            <w:tcW w:w="1180" w:type="dxa"/>
            <w:vAlign w:val="bottom"/>
            <w:gridSpan w:val="2"/>
          </w:tcPr>
          <w:p>
            <w:pPr>
              <w:jc w:val="center"/>
              <w:ind w:right="240"/>
              <w:spacing w:after="0" w:line="171"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2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6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5"/>
              </w:rPr>
              <w:t>Losses</w:t>
            </w:r>
          </w:p>
        </w:tc>
        <w:tc>
          <w:tcPr>
            <w:tcW w:w="240" w:type="dxa"/>
            <w:vAlign w:val="bottom"/>
          </w:tcPr>
          <w:p>
            <w:pPr>
              <w:spacing w:after="0"/>
              <w:rPr>
                <w:sz w:val="20"/>
                <w:szCs w:val="20"/>
                <w:color w:val="auto"/>
              </w:rPr>
            </w:pPr>
          </w:p>
        </w:tc>
        <w:tc>
          <w:tcPr>
            <w:tcW w:w="100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04"/>
        </w:trPr>
        <w:tc>
          <w:tcPr>
            <w:tcW w:w="5940" w:type="dxa"/>
            <w:vAlign w:val="bottom"/>
            <w:tcBorders>
              <w:top w:val="single" w:sz="8" w:color="CCEEFF"/>
            </w:tcBorders>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December 31, 2025</w:t>
            </w: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279,424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(29,516)</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249,937</w:t>
            </w:r>
          </w:p>
        </w:tc>
        <w:tc>
          <w:tcPr>
            <w:tcW w:w="0" w:type="dxa"/>
            <w:vAlign w:val="bottom"/>
          </w:tcPr>
          <w:p>
            <w:pPr>
              <w:spacing w:after="0"/>
              <w:rPr>
                <w:sz w:val="1"/>
                <w:szCs w:val="1"/>
                <w:color w:val="auto"/>
              </w:rPr>
            </w:pPr>
          </w:p>
        </w:tc>
      </w:tr>
      <w:tr>
        <w:trPr>
          <w:trHeight w:val="224"/>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313,963</w:t>
            </w:r>
          </w:p>
        </w:tc>
        <w:tc>
          <w:tcPr>
            <w:tcW w:w="0" w:type="dxa"/>
            <w:vAlign w:val="bottom"/>
          </w:tcPr>
          <w:p>
            <w:pPr>
              <w:spacing w:after="0"/>
              <w:rPr>
                <w:sz w:val="1"/>
                <w:szCs w:val="1"/>
                <w:color w:val="auto"/>
              </w:rPr>
            </w:pPr>
          </w:p>
        </w:tc>
      </w:tr>
      <w:tr>
        <w:trPr>
          <w:trHeight w:val="224"/>
        </w:trPr>
        <w:tc>
          <w:tcPr>
            <w:tcW w:w="5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301,658</w:t>
            </w:r>
          </w:p>
        </w:tc>
        <w:tc>
          <w:tcPr>
            <w:tcW w:w="0" w:type="dxa"/>
            <w:vAlign w:val="bottom"/>
          </w:tcPr>
          <w:p>
            <w:pPr>
              <w:spacing w:after="0"/>
              <w:rPr>
                <w:sz w:val="1"/>
                <w:szCs w:val="1"/>
                <w:color w:val="auto"/>
              </w:rPr>
            </w:pPr>
          </w:p>
        </w:tc>
      </w:tr>
      <w:tr>
        <w:trPr>
          <w:trHeight w:val="224"/>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14,879</w:t>
            </w:r>
          </w:p>
        </w:tc>
        <w:tc>
          <w:tcPr>
            <w:tcW w:w="0" w:type="dxa"/>
            <w:vAlign w:val="bottom"/>
          </w:tcPr>
          <w:p>
            <w:pPr>
              <w:spacing w:after="0"/>
              <w:rPr>
                <w:sz w:val="1"/>
                <w:szCs w:val="1"/>
                <w:color w:val="auto"/>
              </w:rPr>
            </w:pPr>
          </w:p>
        </w:tc>
      </w:tr>
      <w:tr>
        <w:trPr>
          <w:trHeight w:val="224"/>
        </w:trPr>
        <w:tc>
          <w:tcPr>
            <w:tcW w:w="5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36,082</w:t>
            </w:r>
          </w:p>
        </w:tc>
        <w:tc>
          <w:tcPr>
            <w:tcW w:w="0" w:type="dxa"/>
            <w:vAlign w:val="bottom"/>
          </w:tcPr>
          <w:p>
            <w:pPr>
              <w:spacing w:after="0"/>
              <w:rPr>
                <w:sz w:val="1"/>
                <w:szCs w:val="1"/>
                <w:color w:val="auto"/>
              </w:rPr>
            </w:pPr>
          </w:p>
        </w:tc>
      </w:tr>
      <w:tr>
        <w:trPr>
          <w:trHeight w:val="224"/>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debt securities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45,351</w:t>
            </w:r>
          </w:p>
        </w:tc>
        <w:tc>
          <w:tcPr>
            <w:tcW w:w="0" w:type="dxa"/>
            <w:vAlign w:val="bottom"/>
          </w:tcPr>
          <w:p>
            <w:pPr>
              <w:spacing w:after="0"/>
              <w:rPr>
                <w:sz w:val="1"/>
                <w:szCs w:val="1"/>
                <w:color w:val="auto"/>
              </w:rPr>
            </w:pPr>
          </w:p>
        </w:tc>
      </w:tr>
      <w:tr>
        <w:trPr>
          <w:trHeight w:val="217"/>
        </w:trPr>
        <w:tc>
          <w:tcPr>
            <w:tcW w:w="59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1,030,105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(68,264)</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961,870</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Allowance for credit losses - held to maturity securities</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Held-to-maturity securities, net of allowance for credit losses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1,030,073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40" w:type="dxa"/>
            <w:vAlign w:val="bottom"/>
          </w:tcPr>
          <w:p>
            <w:pPr>
              <w:spacing w:after="0"/>
              <w:rPr>
                <w:sz w:val="17"/>
                <w:szCs w:val="17"/>
                <w:color w:val="auto"/>
              </w:rPr>
            </w:pPr>
          </w:p>
        </w:tc>
        <w:tc>
          <w:tcPr>
            <w:tcW w:w="1000" w:type="dxa"/>
            <w:vAlign w:val="bottom"/>
            <w:vMerge w:val="restart"/>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171"/>
        </w:trPr>
        <w:tc>
          <w:tcPr>
            <w:tcW w:w="5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60"/>
              <w:spacing w:after="0" w:line="171" w:lineRule="exact"/>
              <w:rPr>
                <w:sz w:val="20"/>
                <w:szCs w:val="20"/>
                <w:color w:val="auto"/>
              </w:rPr>
            </w:pPr>
            <w:r>
              <w:rPr>
                <w:rFonts w:ascii="Times New Roman" w:cs="Times New Roman" w:eastAsia="Times New Roman" w:hAnsi="Times New Roman"/>
                <w:sz w:val="18"/>
                <w:szCs w:val="18"/>
                <w:b w:val="1"/>
                <w:bCs w:val="1"/>
                <w:color w:val="auto"/>
                <w:w w:val="95"/>
              </w:rPr>
              <w:t>Unrealized</w:t>
            </w:r>
          </w:p>
        </w:tc>
        <w:tc>
          <w:tcPr>
            <w:tcW w:w="160" w:type="dxa"/>
            <w:vAlign w:val="bottom"/>
          </w:tcPr>
          <w:p>
            <w:pPr>
              <w:spacing w:after="0"/>
              <w:rPr>
                <w:sz w:val="14"/>
                <w:szCs w:val="14"/>
                <w:color w:val="auto"/>
              </w:rPr>
            </w:pPr>
          </w:p>
        </w:tc>
        <w:tc>
          <w:tcPr>
            <w:tcW w:w="1180" w:type="dxa"/>
            <w:vAlign w:val="bottom"/>
            <w:gridSpan w:val="2"/>
          </w:tcPr>
          <w:p>
            <w:pPr>
              <w:jc w:val="center"/>
              <w:ind w:right="240"/>
              <w:spacing w:after="0" w:line="171"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2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6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5"/>
              </w:rPr>
              <w:t>Losses</w:t>
            </w:r>
          </w:p>
        </w:tc>
        <w:tc>
          <w:tcPr>
            <w:tcW w:w="240" w:type="dxa"/>
            <w:vAlign w:val="bottom"/>
          </w:tcPr>
          <w:p>
            <w:pPr>
              <w:spacing w:after="0"/>
              <w:rPr>
                <w:sz w:val="20"/>
                <w:szCs w:val="20"/>
                <w:color w:val="auto"/>
              </w:rPr>
            </w:pPr>
          </w:p>
        </w:tc>
        <w:tc>
          <w:tcPr>
            <w:tcW w:w="100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07"/>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284,542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(42,491)</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242,054</w:t>
            </w:r>
          </w:p>
        </w:tc>
        <w:tc>
          <w:tcPr>
            <w:tcW w:w="0" w:type="dxa"/>
            <w:vAlign w:val="bottom"/>
          </w:tcPr>
          <w:p>
            <w:pPr>
              <w:spacing w:after="0"/>
              <w:rPr>
                <w:sz w:val="1"/>
                <w:szCs w:val="1"/>
                <w:color w:val="auto"/>
              </w:rPr>
            </w:pPr>
          </w:p>
        </w:tc>
      </w:tr>
      <w:tr>
        <w:trPr>
          <w:trHeight w:val="224"/>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372,414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347,163</w:t>
            </w:r>
          </w:p>
        </w:tc>
        <w:tc>
          <w:tcPr>
            <w:tcW w:w="0" w:type="dxa"/>
            <w:vAlign w:val="bottom"/>
          </w:tcPr>
          <w:p>
            <w:pPr>
              <w:spacing w:after="0"/>
              <w:rPr>
                <w:sz w:val="1"/>
                <w:szCs w:val="1"/>
                <w:color w:val="auto"/>
              </w:rPr>
            </w:pPr>
          </w:p>
        </w:tc>
      </w:tr>
      <w:tr>
        <w:trPr>
          <w:trHeight w:val="224"/>
        </w:trPr>
        <w:tc>
          <w:tcPr>
            <w:tcW w:w="5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313,376</w:t>
            </w:r>
          </w:p>
        </w:tc>
        <w:tc>
          <w:tcPr>
            <w:tcW w:w="0" w:type="dxa"/>
            <w:vAlign w:val="bottom"/>
          </w:tcPr>
          <w:p>
            <w:pPr>
              <w:spacing w:after="0"/>
              <w:rPr>
                <w:sz w:val="1"/>
                <w:szCs w:val="1"/>
                <w:color w:val="auto"/>
              </w:rPr>
            </w:pPr>
          </w:p>
        </w:tc>
      </w:tr>
      <w:tr>
        <w:trPr>
          <w:trHeight w:val="224"/>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14,003</w:t>
            </w:r>
          </w:p>
        </w:tc>
        <w:tc>
          <w:tcPr>
            <w:tcW w:w="0" w:type="dxa"/>
            <w:vAlign w:val="bottom"/>
          </w:tcPr>
          <w:p>
            <w:pPr>
              <w:spacing w:after="0"/>
              <w:rPr>
                <w:sz w:val="1"/>
                <w:szCs w:val="1"/>
                <w:color w:val="auto"/>
              </w:rPr>
            </w:pPr>
          </w:p>
        </w:tc>
      </w:tr>
      <w:tr>
        <w:trPr>
          <w:trHeight w:val="224"/>
        </w:trPr>
        <w:tc>
          <w:tcPr>
            <w:tcW w:w="5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36,345</w:t>
            </w:r>
          </w:p>
        </w:tc>
        <w:tc>
          <w:tcPr>
            <w:tcW w:w="0" w:type="dxa"/>
            <w:vAlign w:val="bottom"/>
          </w:tcPr>
          <w:p>
            <w:pPr>
              <w:spacing w:after="0"/>
              <w:rPr>
                <w:sz w:val="1"/>
                <w:szCs w:val="1"/>
                <w:color w:val="auto"/>
              </w:rPr>
            </w:pPr>
          </w:p>
        </w:tc>
      </w:tr>
      <w:tr>
        <w:trPr>
          <w:trHeight w:val="224"/>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debt securities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49,603</w:t>
            </w:r>
          </w:p>
        </w:tc>
        <w:tc>
          <w:tcPr>
            <w:tcW w:w="0" w:type="dxa"/>
            <w:vAlign w:val="bottom"/>
          </w:tcPr>
          <w:p>
            <w:pPr>
              <w:spacing w:after="0"/>
              <w:rPr>
                <w:sz w:val="1"/>
                <w:szCs w:val="1"/>
                <w:color w:val="auto"/>
              </w:rPr>
            </w:pPr>
          </w:p>
        </w:tc>
      </w:tr>
      <w:tr>
        <w:trPr>
          <w:trHeight w:val="217"/>
        </w:trPr>
        <w:tc>
          <w:tcPr>
            <w:tcW w:w="59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1,126,144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(123,603)</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1,002,544</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Allowance for credit losses - held to maturity securities</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Held-to-maturity securities, net of allowance for credit losses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1,126,112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358" w:right="37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Securities (continued)</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for sale securities sold were as follows for the years ended December 31, 2025, 2024 and 2023.</w:t>
      </w:r>
    </w:p>
    <w:p>
      <w:pPr>
        <w:spacing w:after="0" w:line="16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On April 1, 2025, the Company acquired available for sale securities with a fair value of $1,457,377 as part of the merger with The First. Shortly after the merger, certain securities from this portfolio were sold at carrying value, resulting in no gain or loss on the sale; no other securities were sold during 2025.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20" w:type="dxa"/>
            <w:vAlign w:val="bottom"/>
          </w:tcPr>
          <w:p>
            <w:pPr>
              <w:spacing w:after="0"/>
              <w:rPr>
                <w:sz w:val="16"/>
                <w:szCs w:val="16"/>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Net Proceeds</w:t>
            </w:r>
          </w:p>
        </w:tc>
        <w:tc>
          <w:tcPr>
            <w:tcW w:w="240" w:type="dxa"/>
            <w:vAlign w:val="bottom"/>
          </w:tcPr>
          <w:p>
            <w:pPr>
              <w:spacing w:after="0"/>
              <w:rPr>
                <w:sz w:val="16"/>
                <w:szCs w:val="16"/>
                <w:color w:val="auto"/>
              </w:rPr>
            </w:pPr>
          </w:p>
        </w:tc>
        <w:tc>
          <w:tcPr>
            <w:tcW w:w="12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Gain/(Loss)</w:t>
            </w:r>
          </w:p>
        </w:tc>
      </w:tr>
      <w:tr>
        <w:trPr>
          <w:trHeight w:val="24"/>
        </w:trPr>
        <w:tc>
          <w:tcPr>
            <w:tcW w:w="6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4"/>
        </w:trPr>
        <w:tc>
          <w:tcPr>
            <w:tcW w:w="676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Twelve months ended December 31, 2025</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4"/>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Obligations of other U.S. Government agencies and corporations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34,394</w:t>
            </w:r>
          </w:p>
        </w:tc>
        <w:tc>
          <w:tcPr>
            <w:tcW w:w="100" w:type="dxa"/>
            <w:vAlign w:val="bottom"/>
          </w:tcPr>
          <w:p>
            <w:pPr>
              <w:spacing w:after="0"/>
              <w:rPr>
                <w:sz w:val="19"/>
                <w:szCs w:val="19"/>
                <w:color w:val="auto"/>
              </w:rPr>
            </w:pP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34,394</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4"/>
        </w:trPr>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6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4"/>
        </w:trPr>
        <w:tc>
          <w:tcPr>
            <w:tcW w:w="6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debt securities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33,214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33,214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67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686,485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686,485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securities sold for the year ended December 31, 2024, the Company intended to sell these as of December 31, 2023, and thereafter completed the sale in January 2024. Therefore, the Company recorded impairment of $19,352 on the securities identified to be sold as of December 31, 2023 and did not recognize a gain or loss during 2024.</w:t>
      </w:r>
    </w:p>
    <w:p>
      <w:pPr>
        <w:spacing w:after="0" w:line="160"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6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0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Net Proceeds</w:t>
            </w:r>
          </w:p>
        </w:tc>
        <w:tc>
          <w:tcPr>
            <w:tcW w:w="240" w:type="dxa"/>
            <w:vAlign w:val="bottom"/>
          </w:tcPr>
          <w:p>
            <w:pPr>
              <w:spacing w:after="0"/>
              <w:rPr>
                <w:sz w:val="16"/>
                <w:szCs w:val="16"/>
                <w:color w:val="auto"/>
              </w:rPr>
            </w:pPr>
          </w:p>
        </w:tc>
        <w:tc>
          <w:tcPr>
            <w:tcW w:w="120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Gain/(Loss)</w:t>
            </w:r>
          </w:p>
        </w:tc>
      </w:tr>
      <w:tr>
        <w:trPr>
          <w:trHeight w:val="24"/>
        </w:trPr>
        <w:tc>
          <w:tcPr>
            <w:tcW w:w="6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4"/>
        </w:trPr>
        <w:tc>
          <w:tcPr>
            <w:tcW w:w="670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Twelve months ended December 31, 2024</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4"/>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11,360</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11,360</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4"/>
        </w:trPr>
        <w:tc>
          <w:tcPr>
            <w:tcW w:w="6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6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4"/>
        </w:trPr>
        <w:tc>
          <w:tcPr>
            <w:tcW w:w="6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67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177,185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177,185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29"/>
        </w:trPr>
        <w:tc>
          <w:tcPr>
            <w:tcW w:w="6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00" w:type="dxa"/>
            <w:vAlign w:val="bottom"/>
          </w:tcPr>
          <w:p>
            <w:pPr>
              <w:spacing w:after="0"/>
              <w:rPr>
                <w:sz w:val="24"/>
                <w:szCs w:val="24"/>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Net Proceeds</w:t>
            </w:r>
          </w:p>
        </w:tc>
        <w:tc>
          <w:tcPr>
            <w:tcW w:w="240" w:type="dxa"/>
            <w:vAlign w:val="bottom"/>
          </w:tcPr>
          <w:p>
            <w:pPr>
              <w:spacing w:after="0"/>
              <w:rPr>
                <w:sz w:val="24"/>
                <w:szCs w:val="24"/>
                <w:color w:val="auto"/>
              </w:rPr>
            </w:pPr>
          </w:p>
        </w:tc>
        <w:tc>
          <w:tcPr>
            <w:tcW w:w="120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Gain/(Loss)</w:t>
            </w:r>
          </w:p>
        </w:tc>
      </w:tr>
      <w:tr>
        <w:trPr>
          <w:trHeight w:val="24"/>
        </w:trPr>
        <w:tc>
          <w:tcPr>
            <w:tcW w:w="6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4"/>
        </w:trPr>
        <w:tc>
          <w:tcPr>
            <w:tcW w:w="670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Twelve months ended December 31, 2023</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4"/>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Obligations of other U.S. Government agencies and corporations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164,915</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(5,085)</w:t>
            </w:r>
          </w:p>
        </w:tc>
      </w:tr>
      <w:tr>
        <w:trPr>
          <w:trHeight w:val="224"/>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(5,511)</w:t>
            </w:r>
          </w:p>
        </w:tc>
      </w:tr>
      <w:tr>
        <w:trPr>
          <w:trHeight w:val="224"/>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4"/>
        </w:trPr>
        <w:tc>
          <w:tcPr>
            <w:tcW w:w="6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(6,594)</w:t>
            </w:r>
          </w:p>
        </w:tc>
      </w:tr>
      <w:tr>
        <w:trPr>
          <w:trHeight w:val="224"/>
        </w:trPr>
        <w:tc>
          <w:tcPr>
            <w:tcW w:w="6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w:t>
            </w:r>
          </w:p>
        </w:tc>
      </w:tr>
      <w:tr>
        <w:trPr>
          <w:trHeight w:val="224"/>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4"/>
        </w:trPr>
        <w:tc>
          <w:tcPr>
            <w:tcW w:w="6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24"/>
        </w:trPr>
        <w:tc>
          <w:tcPr>
            <w:tcW w:w="6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w:t>
            </w:r>
          </w:p>
        </w:tc>
      </w:tr>
      <w:tr>
        <w:trPr>
          <w:trHeight w:val="217"/>
        </w:trPr>
        <w:tc>
          <w:tcPr>
            <w:tcW w:w="67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511,419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488,981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(22,438)</w:t>
            </w:r>
          </w:p>
        </w:tc>
      </w:tr>
      <w:tr>
        <w:trPr>
          <w:trHeight w:val="20"/>
        </w:trPr>
        <w:tc>
          <w:tcPr>
            <w:tcW w:w="6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Securities (continued)</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realized gains and gross realized losses on sales of securities available for sale were as follows for the periods presented: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7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1"/>
        </w:trPr>
        <w:tc>
          <w:tcPr>
            <w:tcW w:w="67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417"/>
              <w:spacing w:after="0" w:line="190" w:lineRule="exact"/>
              <w:rPr>
                <w:sz w:val="20"/>
                <w:szCs w:val="20"/>
                <w:color w:val="auto"/>
              </w:rPr>
            </w:pPr>
            <w:r>
              <w:rPr>
                <w:rFonts w:ascii="Times New Roman" w:cs="Times New Roman" w:eastAsia="Times New Roman" w:hAnsi="Times New Roman"/>
                <w:sz w:val="14"/>
                <w:szCs w:val="14"/>
                <w:b w:val="1"/>
                <w:bCs w:val="1"/>
                <w:color w:val="auto"/>
              </w:rPr>
              <w:t>2024</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8"/>
                <w:szCs w:val="18"/>
                <w:color w:val="auto"/>
                <w:vertAlign w:val="superscript"/>
              </w:rPr>
              <w:t>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gains on sales of securities available for sale</w:t>
            </w:r>
          </w:p>
        </w:tc>
        <w:tc>
          <w:tcPr>
            <w:tcW w:w="1040" w:type="dxa"/>
            <w:vAlign w:val="bottom"/>
            <w:shd w:val="clear" w:color="auto" w:fill="CCEEFF"/>
          </w:tcPr>
          <w:p>
            <w:pPr>
              <w:jc w:val="right"/>
              <w:ind w:right="83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losses on sales of securities available for sale</w:t>
            </w:r>
          </w:p>
        </w:tc>
        <w:tc>
          <w:tcPr>
            <w:tcW w:w="1040" w:type="dxa"/>
            <w:vAlign w:val="bottom"/>
          </w:tcPr>
          <w:p>
            <w:pPr>
              <w:spacing w:after="0"/>
              <w:rPr>
                <w:sz w:val="19"/>
                <w:szCs w:val="19"/>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(22,564)</w:t>
            </w:r>
          </w:p>
        </w:tc>
      </w:tr>
      <w:tr>
        <w:trPr>
          <w:trHeight w:val="242"/>
        </w:trPr>
        <w:tc>
          <w:tcPr>
            <w:tcW w:w="6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on sales of securities available for sale, net</w:t>
            </w:r>
          </w:p>
        </w:tc>
        <w:tc>
          <w:tcPr>
            <w:tcW w:w="1040" w:type="dxa"/>
            <w:vAlign w:val="bottom"/>
            <w:tcBorders>
              <w:top w:val="single" w:sz="8" w:color="auto"/>
              <w:bottom w:val="single" w:sz="8" w:color="auto"/>
            </w:tcBorders>
            <w:shd w:val="clear" w:color="auto" w:fill="CCEEFF"/>
          </w:tcPr>
          <w:p>
            <w:pPr>
              <w:jc w:val="right"/>
              <w:ind w:right="83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(22,438)</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480" w:hanging="238"/>
        <w:spacing w:after="0"/>
        <w:tabs>
          <w:tab w:leader="none" w:pos="420" w:val="left"/>
        </w:tabs>
        <w:numPr>
          <w:ilvl w:val="0"/>
          <w:numId w:val="3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Impairment of available for sale securities sold in January 2024 and recognized in December 2023 consisted of $5 of gross gains and $19,357 of gross losses.</w:t>
      </w:r>
    </w:p>
    <w:p>
      <w:pPr>
        <w:spacing w:after="0" w:line="3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At December 31, 2025 and 2024, securities with a carrying value of approximately $1,732,787 and $818,344, respectively, were pledged to secure government, public, trust, and other deposits. Securities with a carrying value of $9,023 and $18,732 were pledged as collateral for short-term borrowings and derivative instruments, respectively, at December 31, 2025. Securities with a carrying value of $13,083 and $12,443 were pledged as collateral for short-term borrowings and derivative instruments, respectively, at December 31, 2024.</w:t>
      </w:r>
    </w:p>
    <w:p>
      <w:pPr>
        <w:spacing w:after="0" w:line="13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amortized cost and fair value of securities at December 31, 2025 by contractual maturity are shown below. Expected maturities will differ from contractual maturities because issuers may call or prepay obligations with or without call or prepayment penalties.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Held to Maturity</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Available for Sale</w:t>
            </w:r>
          </w:p>
        </w:tc>
        <w:tc>
          <w:tcPr>
            <w:tcW w:w="920" w:type="dxa"/>
            <w:vAlign w:val="bottom"/>
          </w:tcPr>
          <w:p>
            <w:pPr>
              <w:spacing w:after="0"/>
              <w:rPr>
                <w:sz w:val="16"/>
                <w:szCs w:val="16"/>
                <w:color w:val="auto"/>
              </w:rPr>
            </w:pPr>
          </w:p>
        </w:tc>
      </w:tr>
      <w:tr>
        <w:trPr>
          <w:trHeight w:val="24"/>
        </w:trPr>
        <w:tc>
          <w:tcPr>
            <w:tcW w:w="5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25"/>
        </w:trPr>
        <w:tc>
          <w:tcPr>
            <w:tcW w:w="52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jc w:val="center"/>
              <w:ind w:right="360"/>
              <w:spacing w:after="0" w:line="125"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5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415"/>
              <w:spacing w:after="0" w:line="125" w:lineRule="exact"/>
              <w:rPr>
                <w:sz w:val="20"/>
                <w:szCs w:val="20"/>
                <w:color w:val="auto"/>
              </w:rPr>
            </w:pPr>
            <w:r>
              <w:rPr>
                <w:rFonts w:ascii="Times New Roman" w:cs="Times New Roman" w:eastAsia="Times New Roman" w:hAnsi="Times New Roman"/>
                <w:sz w:val="14"/>
                <w:szCs w:val="14"/>
                <w:b w:val="1"/>
                <w:bCs w:val="1"/>
                <w:color w:val="auto"/>
                <w:w w:val="93"/>
              </w:rPr>
              <w:t>Fair</w:t>
            </w:r>
          </w:p>
        </w:tc>
        <w:tc>
          <w:tcPr>
            <w:tcW w:w="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jc w:val="center"/>
              <w:ind w:right="360"/>
              <w:spacing w:after="0" w:line="125"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5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495"/>
              <w:spacing w:after="0" w:line="125"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1"/>
        </w:trPr>
        <w:tc>
          <w:tcPr>
            <w:tcW w:w="5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500" w:type="dxa"/>
            <w:vAlign w:val="bottom"/>
          </w:tcPr>
          <w:p>
            <w:pPr>
              <w:spacing w:after="0"/>
              <w:rPr>
                <w:sz w:val="16"/>
                <w:szCs w:val="16"/>
                <w:color w:val="auto"/>
              </w:rPr>
            </w:pPr>
          </w:p>
        </w:tc>
        <w:tc>
          <w:tcPr>
            <w:tcW w:w="102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26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520" w:type="dxa"/>
            <w:vAlign w:val="bottom"/>
          </w:tcPr>
          <w:p>
            <w:pPr>
              <w:spacing w:after="0"/>
              <w:rPr>
                <w:sz w:val="16"/>
                <w:szCs w:val="16"/>
                <w:color w:val="auto"/>
              </w:rPr>
            </w:pPr>
          </w:p>
        </w:tc>
        <w:tc>
          <w:tcPr>
            <w:tcW w:w="92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23"/>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10,323</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10,351</w:t>
            </w:r>
          </w:p>
        </w:tc>
      </w:tr>
      <w:tr>
        <w:trPr>
          <w:trHeight w:val="22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72,225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72,645</w:t>
            </w:r>
          </w:p>
        </w:tc>
      </w:tr>
      <w:tr>
        <w:trPr>
          <w:trHeight w:val="224"/>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179,864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162,361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128,007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129,427</w:t>
            </w:r>
          </w:p>
        </w:tc>
      </w:tr>
      <w:tr>
        <w:trPr>
          <w:trHeight w:val="22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ten years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89,611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78,090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105,792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110,173</w:t>
            </w:r>
          </w:p>
        </w:tc>
      </w:tr>
      <w:tr>
        <w:trPr>
          <w:trHeight w:val="224"/>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4"/>
        </w:trPr>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323,993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313,963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793,154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783,149</w:t>
            </w:r>
          </w:p>
        </w:tc>
      </w:tr>
      <w:tr>
        <w:trPr>
          <w:trHeight w:val="224"/>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320,258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301,658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706,986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651,904</w:t>
            </w:r>
          </w:p>
        </w:tc>
      </w:tr>
      <w:tr>
        <w:trPr>
          <w:trHeight w:val="22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4"/>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100,314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99,837</w:t>
            </w:r>
          </w:p>
        </w:tc>
      </w:tr>
      <w:tr>
        <w:trPr>
          <w:trHeight w:val="224"/>
        </w:trPr>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42,079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419,356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404,788</w:t>
            </w:r>
          </w:p>
        </w:tc>
      </w:tr>
      <w:tr>
        <w:trPr>
          <w:trHeight w:val="224"/>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debt securities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47,413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45,351</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299,338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298,544</w:t>
            </w:r>
          </w:p>
        </w:tc>
      </w:tr>
      <w:tr>
        <w:trPr>
          <w:trHeight w:val="217"/>
        </w:trPr>
        <w:tc>
          <w:tcPr>
            <w:tcW w:w="520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1,030,105</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961,870</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2,635,495</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2,560,818</w:t>
            </w:r>
          </w:p>
        </w:tc>
      </w:tr>
      <w:tr>
        <w:trPr>
          <w:trHeight w:val="20"/>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Securities (continued)</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present the gross unrealized losses and fair value of investment securities, aggregated by investment category and the length of time the</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have</w:t>
            </w:r>
          </w:p>
        </w:tc>
        <w:tc>
          <w:tcPr>
            <w:tcW w:w="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been</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in</w:t>
            </w:r>
          </w:p>
        </w:tc>
        <w:tc>
          <w:tcPr>
            <w:tcW w:w="160" w:type="dxa"/>
            <w:vAlign w:val="bottom"/>
          </w:tcPr>
          <w:p>
            <w:pPr>
              <w:spacing w:after="0"/>
              <w:rPr>
                <w:sz w:val="19"/>
                <w:szCs w:val="19"/>
                <w:color w:val="auto"/>
              </w:rPr>
            </w:pPr>
          </w:p>
        </w:tc>
        <w:tc>
          <w:tcPr>
            <w:tcW w:w="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a</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continuous</w:t>
            </w:r>
          </w:p>
        </w:tc>
        <w:tc>
          <w:tcPr>
            <w:tcW w:w="1140" w:type="dxa"/>
            <w:vAlign w:val="bottom"/>
            <w:gridSpan w:val="3"/>
          </w:tcPr>
          <w:p>
            <w:pPr>
              <w:jc w:val="center"/>
              <w:ind w:left="289"/>
              <w:spacing w:after="0"/>
              <w:rPr>
                <w:sz w:val="20"/>
                <w:szCs w:val="20"/>
                <w:color w:val="auto"/>
              </w:rPr>
            </w:pPr>
            <w:r>
              <w:rPr>
                <w:rFonts w:ascii="Times New Roman" w:cs="Times New Roman" w:eastAsia="Times New Roman" w:hAnsi="Times New Roman"/>
                <w:sz w:val="18"/>
                <w:szCs w:val="18"/>
                <w:color w:val="auto"/>
                <w:w w:val="98"/>
              </w:rPr>
              <w:t>unrealized</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loss</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position,</w:t>
            </w:r>
          </w:p>
        </w:tc>
        <w:tc>
          <w:tcPr>
            <w:tcW w:w="9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as</w:t>
            </w:r>
          </w:p>
        </w:tc>
        <w:tc>
          <w:tcPr>
            <w:tcW w:w="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of</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w:t>
            </w:r>
          </w:p>
        </w:tc>
        <w:tc>
          <w:tcPr>
            <w:tcW w:w="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dates</w:t>
            </w:r>
          </w:p>
        </w:tc>
        <w:tc>
          <w:tcPr>
            <w:tcW w:w="140" w:type="dxa"/>
            <w:vAlign w:val="bottom"/>
          </w:tcPr>
          <w:p>
            <w:pPr>
              <w:spacing w:after="0"/>
              <w:rPr>
                <w:sz w:val="19"/>
                <w:szCs w:val="19"/>
                <w:color w:val="auto"/>
              </w:rPr>
            </w:pPr>
          </w:p>
        </w:tc>
        <w:tc>
          <w:tcPr>
            <w:tcW w:w="9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94"/>
              </w:rPr>
              <w:t>presented:</w:t>
            </w:r>
          </w:p>
        </w:tc>
        <w:tc>
          <w:tcPr>
            <w:tcW w:w="0" w:type="dxa"/>
            <w:vAlign w:val="bottom"/>
          </w:tcPr>
          <w:p>
            <w:pPr>
              <w:spacing w:after="0"/>
              <w:rPr>
                <w:sz w:val="1"/>
                <w:szCs w:val="1"/>
                <w:color w:val="auto"/>
              </w:rPr>
            </w:pPr>
          </w:p>
        </w:tc>
      </w:tr>
      <w:tr>
        <w:trPr>
          <w:trHeight w:val="354"/>
        </w:trPr>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8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1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rPr>
              <w:t>Fair</w:t>
            </w:r>
          </w:p>
        </w:tc>
        <w:tc>
          <w:tcPr>
            <w:tcW w:w="140" w:type="dxa"/>
            <w:vAlign w:val="bottom"/>
          </w:tcPr>
          <w:p>
            <w:pPr>
              <w:spacing w:after="0"/>
              <w:rPr>
                <w:sz w:val="10"/>
                <w:szCs w:val="10"/>
                <w:color w:val="auto"/>
              </w:rPr>
            </w:pPr>
          </w:p>
        </w:tc>
        <w:tc>
          <w:tcPr>
            <w:tcW w:w="900" w:type="dxa"/>
            <w:vAlign w:val="bottom"/>
          </w:tcPr>
          <w:p>
            <w:pPr>
              <w:jc w:val="center"/>
              <w:ind w:right="69"/>
              <w:spacing w:after="0" w:line="125"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gridSpan w:val="2"/>
          </w:tcPr>
          <w:p>
            <w:pPr>
              <w:jc w:val="center"/>
              <w:ind w:right="440"/>
              <w:spacing w:after="0" w:line="125" w:lineRule="exact"/>
              <w:rPr>
                <w:sz w:val="20"/>
                <w:szCs w:val="20"/>
                <w:color w:val="auto"/>
              </w:rPr>
            </w:pPr>
            <w:r>
              <w:rPr>
                <w:rFonts w:ascii="Times New Roman" w:cs="Times New Roman" w:eastAsia="Times New Roman" w:hAnsi="Times New Roman"/>
                <w:sz w:val="14"/>
                <w:szCs w:val="14"/>
                <w:b w:val="1"/>
                <w:bCs w:val="1"/>
                <w:color w:val="auto"/>
              </w:rPr>
              <w:t>Fair</w:t>
            </w:r>
          </w:p>
        </w:tc>
        <w:tc>
          <w:tcPr>
            <w:tcW w:w="200" w:type="dxa"/>
            <w:vAlign w:val="bottom"/>
          </w:tcPr>
          <w:p>
            <w:pPr>
              <w:spacing w:after="0"/>
              <w:rPr>
                <w:sz w:val="10"/>
                <w:szCs w:val="10"/>
                <w:color w:val="auto"/>
              </w:rPr>
            </w:pPr>
          </w:p>
        </w:tc>
        <w:tc>
          <w:tcPr>
            <w:tcW w:w="840" w:type="dxa"/>
            <w:vAlign w:val="bottom"/>
          </w:tcPr>
          <w:p>
            <w:pPr>
              <w:jc w:val="center"/>
              <w:ind w:right="129"/>
              <w:spacing w:after="0" w:line="125"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100" w:type="dxa"/>
            <w:vAlign w:val="bottom"/>
          </w:tcPr>
          <w:p>
            <w:pPr>
              <w:spacing w:after="0"/>
              <w:rPr>
                <w:sz w:val="10"/>
                <w:szCs w:val="10"/>
                <w:color w:val="auto"/>
              </w:rPr>
            </w:pPr>
          </w:p>
        </w:tc>
        <w:tc>
          <w:tcPr>
            <w:tcW w:w="42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gridSpan w:val="2"/>
          </w:tcPr>
          <w:p>
            <w:pPr>
              <w:jc w:val="center"/>
              <w:ind w:right="440"/>
              <w:spacing w:after="0" w:line="125" w:lineRule="exact"/>
              <w:rPr>
                <w:sz w:val="20"/>
                <w:szCs w:val="20"/>
                <w:color w:val="auto"/>
              </w:rPr>
            </w:pPr>
            <w:r>
              <w:rPr>
                <w:rFonts w:ascii="Times New Roman" w:cs="Times New Roman" w:eastAsia="Times New Roman" w:hAnsi="Times New Roman"/>
                <w:sz w:val="14"/>
                <w:szCs w:val="14"/>
                <w:b w:val="1"/>
                <w:bCs w:val="1"/>
                <w:color w:val="auto"/>
                <w:w w:val="93"/>
              </w:rPr>
              <w:t>Fair</w:t>
            </w:r>
          </w:p>
        </w:tc>
        <w:tc>
          <w:tcPr>
            <w:tcW w:w="140" w:type="dxa"/>
            <w:vAlign w:val="bottom"/>
          </w:tcPr>
          <w:p>
            <w:pPr>
              <w:spacing w:after="0"/>
              <w:rPr>
                <w:sz w:val="10"/>
                <w:szCs w:val="10"/>
                <w:color w:val="auto"/>
              </w:rPr>
            </w:pPr>
          </w:p>
        </w:tc>
        <w:tc>
          <w:tcPr>
            <w:tcW w:w="920" w:type="dxa"/>
            <w:vAlign w:val="bottom"/>
          </w:tcPr>
          <w:p>
            <w:pPr>
              <w:jc w:val="center"/>
              <w:ind w:right="69"/>
              <w:spacing w:after="0" w:line="12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1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6"/>
                <w:szCs w:val="16"/>
                <w:color w:val="auto"/>
              </w:rPr>
            </w:pPr>
          </w:p>
        </w:tc>
        <w:tc>
          <w:tcPr>
            <w:tcW w:w="114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14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0" w:type="dxa"/>
            <w:vAlign w:val="bottom"/>
          </w:tcPr>
          <w:p>
            <w:pPr>
              <w:spacing w:after="0"/>
              <w:rPr>
                <w:sz w:val="1"/>
                <w:szCs w:val="1"/>
                <w:color w:val="auto"/>
              </w:rPr>
            </w:pPr>
          </w:p>
        </w:tc>
      </w:tr>
      <w:tr>
        <w:trPr>
          <w:trHeight w:val="184"/>
        </w:trPr>
        <w:tc>
          <w:tcPr>
            <w:tcW w:w="1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Available for Sale:</w:t>
            </w:r>
          </w:p>
        </w:tc>
        <w:tc>
          <w:tcPr>
            <w:tcW w:w="6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Obligations of states and political subdivisions</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19,454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(1,335)</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33,045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7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7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Agency mortgage backed securities</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135,320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132,975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(14,772)</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268,295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(15,675)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72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Collateralized mortgage obligations</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299,606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(57,850)</w:t>
            </w:r>
          </w:p>
        </w:tc>
        <w:tc>
          <w:tcPr>
            <w:tcW w:w="1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324,422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(57,908)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72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Agency mortgage backed securities</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71,188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1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76,783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7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Collateralized mortgage obligations</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40,387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102,206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(18,064)</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142,593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debt securities</w:t>
            </w:r>
          </w:p>
        </w:tc>
        <w:tc>
          <w:tcPr>
            <w:tcW w:w="60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10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191,504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14,571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(967)</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206,075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6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54</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482,669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568,544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(93,355)</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1,051,213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122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2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Obligations of states and political subdivisions</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3"/>
            <w:shd w:val="clear" w:color="auto" w:fill="CCEEFF"/>
          </w:tcPr>
          <w:p>
            <w:pPr>
              <w:jc w:val="center"/>
              <w:ind w:left="329"/>
              <w:spacing w:after="0"/>
              <w:rPr>
                <w:sz w:val="20"/>
                <w:szCs w:val="20"/>
                <w:color w:val="auto"/>
              </w:rPr>
            </w:pPr>
            <w:r>
              <w:rPr>
                <w:rFonts w:ascii="Times New Roman" w:cs="Times New Roman" w:eastAsia="Times New Roman" w:hAnsi="Times New Roman"/>
                <w:sz w:val="14"/>
                <w:szCs w:val="14"/>
                <w:color w:val="auto"/>
                <w:w w:val="99"/>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12,841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12,841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7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7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Agency mortgage backed securities</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141,321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(24,209)</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152,372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(24,468)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72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Collateralized mortgage obligations</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48,879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311,964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(86,388)</w:t>
            </w:r>
          </w:p>
        </w:tc>
        <w:tc>
          <w:tcPr>
            <w:tcW w:w="1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360,843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(86,870)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72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Agency mortgage backed securities</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w:t>
            </w:r>
          </w:p>
        </w:tc>
        <w:tc>
          <w:tcPr>
            <w:tcW w:w="1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7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Collateralized mortgage obligations</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104,326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(21,556)</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112,007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(21,595)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debt securities</w:t>
            </w:r>
          </w:p>
        </w:tc>
        <w:tc>
          <w:tcPr>
            <w:tcW w:w="60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22,357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30,801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(2,437)</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53,158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6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16</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95,216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606,628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(137,488)</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701,844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(138,608)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Securities (continued)</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Held to Maturity:</w:t>
            </w:r>
          </w:p>
        </w:tc>
        <w:tc>
          <w:tcPr>
            <w:tcW w:w="400" w:type="dxa"/>
            <w:vAlign w:val="bottom"/>
            <w:tcBorders>
              <w:top w:val="single" w:sz="8" w:color="auto"/>
            </w:tcBorders>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ind w:left="60"/>
              <w:spacing w:after="0" w:line="12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1"/>
                <w:szCs w:val="11"/>
                <w:color w:val="auto"/>
              </w:rPr>
            </w:pPr>
          </w:p>
        </w:tc>
        <w:tc>
          <w:tcPr>
            <w:tcW w:w="42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30"/>
              <w:spacing w:after="0" w:line="12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1"/>
                <w:szCs w:val="11"/>
                <w:color w:val="auto"/>
              </w:rPr>
            </w:pPr>
          </w:p>
        </w:tc>
        <w:tc>
          <w:tcPr>
            <w:tcW w:w="40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110"/>
              <w:spacing w:after="0" w:line="12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0"/>
        </w:trPr>
        <w:tc>
          <w:tcPr>
            <w:tcW w:w="296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83"/>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Obligations of states and political subdivisions</w:t>
            </w: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248,044</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(29,516)</w:t>
            </w:r>
          </w:p>
        </w:tc>
        <w:tc>
          <w:tcPr>
            <w:tcW w:w="1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248,044</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(29,516)</w:t>
            </w:r>
          </w:p>
        </w:tc>
        <w:tc>
          <w:tcPr>
            <w:tcW w:w="0" w:type="dxa"/>
            <w:vAlign w:val="bottom"/>
          </w:tcPr>
          <w:p>
            <w:pPr>
              <w:spacing w:after="0"/>
              <w:rPr>
                <w:sz w:val="1"/>
                <w:szCs w:val="1"/>
                <w:color w:val="auto"/>
              </w:rPr>
            </w:pPr>
          </w:p>
        </w:tc>
      </w:tr>
      <w:tr>
        <w:trPr>
          <w:trHeight w:val="205"/>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9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Agency mortgage backed securities</w:t>
            </w: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313,963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(10,030)</w:t>
            </w:r>
          </w:p>
        </w:tc>
        <w:tc>
          <w:tcPr>
            <w:tcW w:w="1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313,963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(10,030)</w:t>
            </w:r>
          </w:p>
        </w:tc>
        <w:tc>
          <w:tcPr>
            <w:tcW w:w="0" w:type="dxa"/>
            <w:vAlign w:val="bottom"/>
          </w:tcPr>
          <w:p>
            <w:pPr>
              <w:spacing w:after="0"/>
              <w:rPr>
                <w:sz w:val="1"/>
                <w:szCs w:val="1"/>
                <w:color w:val="auto"/>
              </w:rPr>
            </w:pPr>
          </w:p>
        </w:tc>
      </w:tr>
      <w:tr>
        <w:trPr>
          <w:trHeight w:val="205"/>
        </w:trPr>
        <w:tc>
          <w:tcPr>
            <w:tcW w:w="2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Collateralized mortgage obligations</w:t>
            </w:r>
          </w:p>
        </w:tc>
        <w:tc>
          <w:tcPr>
            <w:tcW w:w="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301,657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(18,600)</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301,657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(18,600)</w:t>
            </w:r>
          </w:p>
        </w:tc>
        <w:tc>
          <w:tcPr>
            <w:tcW w:w="0" w:type="dxa"/>
            <w:vAlign w:val="bottom"/>
          </w:tcPr>
          <w:p>
            <w:pPr>
              <w:spacing w:after="0"/>
              <w:rPr>
                <w:sz w:val="1"/>
                <w:szCs w:val="1"/>
                <w:color w:val="auto"/>
              </w:rPr>
            </w:pPr>
          </w:p>
        </w:tc>
      </w:tr>
      <w:tr>
        <w:trPr>
          <w:trHeight w:val="190"/>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Agency mortgage backed securities</w:t>
            </w:r>
          </w:p>
        </w:tc>
        <w:tc>
          <w:tcPr>
            <w:tcW w:w="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14,879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(2,059)</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14,879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(2,059)</w:t>
            </w:r>
          </w:p>
        </w:tc>
        <w:tc>
          <w:tcPr>
            <w:tcW w:w="0" w:type="dxa"/>
            <w:vAlign w:val="bottom"/>
          </w:tcPr>
          <w:p>
            <w:pPr>
              <w:spacing w:after="0"/>
              <w:rPr>
                <w:sz w:val="1"/>
                <w:szCs w:val="1"/>
                <w:color w:val="auto"/>
              </w:rPr>
            </w:pPr>
          </w:p>
        </w:tc>
      </w:tr>
      <w:tr>
        <w:trPr>
          <w:trHeight w:val="190"/>
        </w:trPr>
        <w:tc>
          <w:tcPr>
            <w:tcW w:w="29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Collateralized mortgage obligations</w:t>
            </w: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36,083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(5,997)</w:t>
            </w:r>
          </w:p>
        </w:tc>
        <w:tc>
          <w:tcPr>
            <w:tcW w:w="1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36,083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(5,997)</w:t>
            </w:r>
          </w:p>
        </w:tc>
        <w:tc>
          <w:tcPr>
            <w:tcW w:w="0" w:type="dxa"/>
            <w:vAlign w:val="bottom"/>
          </w:tcPr>
          <w:p>
            <w:pPr>
              <w:spacing w:after="0"/>
              <w:rPr>
                <w:sz w:val="1"/>
                <w:szCs w:val="1"/>
                <w:color w:val="auto"/>
              </w:rPr>
            </w:pPr>
          </w:p>
        </w:tc>
      </w:tr>
      <w:tr>
        <w:trPr>
          <w:trHeight w:val="205"/>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debt securities</w:t>
            </w:r>
          </w:p>
        </w:tc>
        <w:tc>
          <w:tcPr>
            <w:tcW w:w="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45,351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(2,062)</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45,351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(2,062)</w:t>
            </w:r>
          </w:p>
        </w:tc>
        <w:tc>
          <w:tcPr>
            <w:tcW w:w="0" w:type="dxa"/>
            <w:vAlign w:val="bottom"/>
          </w:tcPr>
          <w:p>
            <w:pPr>
              <w:spacing w:after="0"/>
              <w:rPr>
                <w:sz w:val="1"/>
                <w:szCs w:val="1"/>
                <w:color w:val="auto"/>
              </w:rPr>
            </w:pPr>
          </w:p>
        </w:tc>
      </w:tr>
      <w:tr>
        <w:trPr>
          <w:trHeight w:val="191"/>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4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959,977</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(68,264)</w:t>
            </w:r>
          </w:p>
        </w:tc>
        <w:tc>
          <w:tcPr>
            <w:tcW w:w="12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959,977</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(68,264)</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Obligations of states and political subdivisions</w:t>
            </w: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240,394</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(42,491)</w:t>
            </w:r>
          </w:p>
        </w:tc>
        <w:tc>
          <w:tcPr>
            <w:tcW w:w="1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240,394</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(42,491)</w:t>
            </w:r>
          </w:p>
        </w:tc>
        <w:tc>
          <w:tcPr>
            <w:tcW w:w="0" w:type="dxa"/>
            <w:vAlign w:val="bottom"/>
          </w:tcPr>
          <w:p>
            <w:pPr>
              <w:spacing w:after="0"/>
              <w:rPr>
                <w:sz w:val="1"/>
                <w:szCs w:val="1"/>
                <w:color w:val="auto"/>
              </w:rPr>
            </w:pPr>
          </w:p>
        </w:tc>
      </w:tr>
      <w:tr>
        <w:trPr>
          <w:trHeight w:val="205"/>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9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Agency mortgage backed securities</w:t>
            </w: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347,154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(25,251)</w:t>
            </w:r>
          </w:p>
        </w:tc>
        <w:tc>
          <w:tcPr>
            <w:tcW w:w="1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347,154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(25,251)</w:t>
            </w:r>
          </w:p>
        </w:tc>
        <w:tc>
          <w:tcPr>
            <w:tcW w:w="0" w:type="dxa"/>
            <w:vAlign w:val="bottom"/>
          </w:tcPr>
          <w:p>
            <w:pPr>
              <w:spacing w:after="0"/>
              <w:rPr>
                <w:sz w:val="1"/>
                <w:szCs w:val="1"/>
                <w:color w:val="auto"/>
              </w:rPr>
            </w:pPr>
          </w:p>
        </w:tc>
      </w:tr>
      <w:tr>
        <w:trPr>
          <w:trHeight w:val="205"/>
        </w:trPr>
        <w:tc>
          <w:tcPr>
            <w:tcW w:w="2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Collateralized mortgage obligations</w:t>
            </w:r>
          </w:p>
        </w:tc>
        <w:tc>
          <w:tcPr>
            <w:tcW w:w="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313,376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(41,506)</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313,376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(41,506)</w:t>
            </w:r>
          </w:p>
        </w:tc>
        <w:tc>
          <w:tcPr>
            <w:tcW w:w="0" w:type="dxa"/>
            <w:vAlign w:val="bottom"/>
          </w:tcPr>
          <w:p>
            <w:pPr>
              <w:spacing w:after="0"/>
              <w:rPr>
                <w:sz w:val="1"/>
                <w:szCs w:val="1"/>
                <w:color w:val="auto"/>
              </w:rPr>
            </w:pPr>
          </w:p>
        </w:tc>
      </w:tr>
      <w:tr>
        <w:trPr>
          <w:trHeight w:val="190"/>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Agency mortgage backed securities</w:t>
            </w:r>
          </w:p>
        </w:tc>
        <w:tc>
          <w:tcPr>
            <w:tcW w:w="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(2,958)</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(2,958)</w:t>
            </w:r>
          </w:p>
        </w:tc>
        <w:tc>
          <w:tcPr>
            <w:tcW w:w="0" w:type="dxa"/>
            <w:vAlign w:val="bottom"/>
          </w:tcPr>
          <w:p>
            <w:pPr>
              <w:spacing w:after="0"/>
              <w:rPr>
                <w:sz w:val="1"/>
                <w:szCs w:val="1"/>
                <w:color w:val="auto"/>
              </w:rPr>
            </w:pPr>
          </w:p>
        </w:tc>
      </w:tr>
      <w:tr>
        <w:trPr>
          <w:trHeight w:val="190"/>
        </w:trPr>
        <w:tc>
          <w:tcPr>
            <w:tcW w:w="29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Collateralized mortgage obligations</w:t>
            </w: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36,345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(7,317)</w:t>
            </w:r>
          </w:p>
        </w:tc>
        <w:tc>
          <w:tcPr>
            <w:tcW w:w="1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36,345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(7,317)</w:t>
            </w:r>
          </w:p>
        </w:tc>
        <w:tc>
          <w:tcPr>
            <w:tcW w:w="0" w:type="dxa"/>
            <w:vAlign w:val="bottom"/>
          </w:tcPr>
          <w:p>
            <w:pPr>
              <w:spacing w:after="0"/>
              <w:rPr>
                <w:sz w:val="1"/>
                <w:szCs w:val="1"/>
                <w:color w:val="auto"/>
              </w:rPr>
            </w:pPr>
          </w:p>
        </w:tc>
      </w:tr>
      <w:tr>
        <w:trPr>
          <w:trHeight w:val="205"/>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debt securities</w:t>
            </w:r>
          </w:p>
        </w:tc>
        <w:tc>
          <w:tcPr>
            <w:tcW w:w="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49,603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(4,080)</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49,603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(4,080)</w:t>
            </w:r>
          </w:p>
        </w:tc>
        <w:tc>
          <w:tcPr>
            <w:tcW w:w="0" w:type="dxa"/>
            <w:vAlign w:val="bottom"/>
          </w:tcPr>
          <w:p>
            <w:pPr>
              <w:spacing w:after="0"/>
              <w:rPr>
                <w:sz w:val="1"/>
                <w:szCs w:val="1"/>
                <w:color w:val="auto"/>
              </w:rPr>
            </w:pPr>
          </w:p>
        </w:tc>
      </w:tr>
      <w:tr>
        <w:trPr>
          <w:trHeight w:val="191"/>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4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1,000,874</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(123,603)</w:t>
            </w:r>
          </w:p>
        </w:tc>
        <w:tc>
          <w:tcPr>
            <w:tcW w:w="12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1,000,874</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(123,603)</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The Company does not intend to sell any of the securities in an unrealized loss position, and it is not more likely than not that the Company will be required to sell any such security prior to the recovery of its amortized cost basis, which may be maturity. Furthermore, more than 90% of available for sale securities have the explicit backing of the United States government or a guarantee from a government sponsored enterprise that has perceived credit risk the same as the U.S. government. Performance of these securities has been in line with broader market price performance indicating that increases in market-based, risk free rates, and not credit-related factors, are driving losses. For municipal and corporate securities, the Company considers historical experience with credit sensitive securities, current market conditions, the financial health of the issuer, current credit ratings, ratings changes and outlook, explicit and implicit guarantees, or insurance programs when determining the fair value of the contractual cash flows. Based on its review of these factors as of December 31, 2025 and 2024, the Company determined that all such losses resulted from factors not deemed credit related. As a result, no credit-related impairment was recognized in current earnings, and all unrealized losses for available for sale securities were recorded in Accumulated Other Comprehensive Income.</w:t>
      </w:r>
    </w:p>
    <w:p>
      <w:pPr>
        <w:spacing w:after="0" w:line="1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At each of December 31, 2025 and 2024, the allowance for credit losses on held to maturity securities was $32. The Company monitors the credit quality of debt securities held to maturity using bond investment grades assigned by third party ratings agencies. Updated investment grades are obtained as they become available from the agencies. On December 31, 2025, all debt securities held to maturity were rated A or higher by the ratings agencies. Accordingly, no additional credit loss was recorded for held to maturity securities.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 Loans</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68"/>
        </w:trPr>
        <w:tc>
          <w:tcPr>
            <w:tcW w:w="8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 Except Number of Loans)</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68"/>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summary of loans and leases, excluding loans held for sale, at December 31:</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08"/>
        </w:trPr>
        <w:tc>
          <w:tcPr>
            <w:tcW w:w="84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7"/>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2,818,326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1,976,286</w:t>
            </w:r>
          </w:p>
        </w:tc>
      </w:tr>
      <w:tr>
        <w:trPr>
          <w:trHeight w:val="224"/>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4"/>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382,773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256,661</w:t>
            </w:r>
          </w:p>
        </w:tc>
      </w:tr>
      <w:tr>
        <w:trPr>
          <w:trHeight w:val="224"/>
        </w:trPr>
        <w:tc>
          <w:tcPr>
            <w:tcW w:w="8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1,522,863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1,065,148</w:t>
            </w:r>
          </w:p>
        </w:tc>
      </w:tr>
      <w:tr>
        <w:trPr>
          <w:trHeight w:val="217"/>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construction and land development</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1,905,636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1,321,809</w:t>
            </w:r>
          </w:p>
        </w:tc>
      </w:tr>
      <w:tr>
        <w:trPr>
          <w:trHeight w:val="204"/>
        </w:trPr>
        <w:tc>
          <w:tcPr>
            <w:tcW w:w="848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Real estate - 1-4 family mortgage</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4"/>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First lien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3,844,097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2,805,693</w:t>
            </w:r>
          </w:p>
        </w:tc>
      </w:tr>
      <w:tr>
        <w:trPr>
          <w:trHeight w:val="224"/>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Junior lien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52,943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25,441</w:t>
            </w:r>
          </w:p>
        </w:tc>
      </w:tr>
      <w:tr>
        <w:trPr>
          <w:trHeight w:val="224"/>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Home equity</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737,993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544,160</w:t>
            </w:r>
          </w:p>
        </w:tc>
      </w:tr>
      <w:tr>
        <w:trPr>
          <w:trHeight w:val="217"/>
        </w:trPr>
        <w:tc>
          <w:tcPr>
            <w:tcW w:w="84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real estate – 1-4 family mortgage</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4,635,033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3,375,294</w:t>
            </w:r>
          </w:p>
        </w:tc>
      </w:tr>
      <w:tr>
        <w:trPr>
          <w:trHeight w:val="217"/>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 - owner occupied</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3,334,664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1,894,679</w:t>
            </w:r>
          </w:p>
        </w:tc>
      </w:tr>
      <w:tr>
        <w:trPr>
          <w:trHeight w:val="224"/>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 - non-owner occupied</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4"/>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Multi family</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1,392,779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985,037</w:t>
            </w:r>
          </w:p>
        </w:tc>
      </w:tr>
      <w:tr>
        <w:trPr>
          <w:trHeight w:val="224"/>
        </w:trPr>
        <w:tc>
          <w:tcPr>
            <w:tcW w:w="8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4,852,701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3,241,901</w:t>
            </w:r>
          </w:p>
        </w:tc>
      </w:tr>
      <w:tr>
        <w:trPr>
          <w:trHeight w:val="217"/>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commercial real estate - non-owner occupied</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6,245,480</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4,226,938</w:t>
            </w:r>
          </w:p>
        </w:tc>
      </w:tr>
      <w:tr>
        <w:trPr>
          <w:trHeight w:val="217"/>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107,900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90,014</w:t>
            </w:r>
          </w:p>
        </w:tc>
      </w:tr>
      <w:tr>
        <w:trPr>
          <w:trHeight w:val="242"/>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net of unearned income</w:t>
            </w: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19,047,039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12,885,020</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had unearned income of $5,152 and $4,480, unamortized net deferred (fees) costs of $(1,900) and $8,484, and unamortized purchase accounting discounts, net of premiums, of $161,591 and $4,804, at December 31, 2025 and 2024, respectively. As of December 31, 2025 and 2024, the Company has accrued interest receivable for loans of $54,395 and $54,804, respectively, which is recorded in the “Other assets” line item on the Consolidated Balance Sheets. Interest on nonaccrual loans for the years ended December 31, 2025 and 2024 was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Loans (continued)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Past Due and Nonaccrual Loans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nonaccrual loans and an aging of accruing past due loans, segregated by class, as of the dates presented: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60" w:type="dxa"/>
            <w:vAlign w:val="bottom"/>
            <w:gridSpan w:val="3"/>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Accruing Loans</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4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vMerge w:val="restart"/>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30-89 Days</w:t>
            </w:r>
          </w:p>
        </w:tc>
        <w:tc>
          <w:tcPr>
            <w:tcW w:w="200" w:type="dxa"/>
            <w:vAlign w:val="bottom"/>
          </w:tcPr>
          <w:p>
            <w:pPr>
              <w:spacing w:after="0"/>
              <w:rPr>
                <w:sz w:val="11"/>
                <w:szCs w:val="11"/>
                <w:color w:val="auto"/>
              </w:rPr>
            </w:pPr>
          </w:p>
        </w:tc>
        <w:tc>
          <w:tcPr>
            <w:tcW w:w="920" w:type="dxa"/>
            <w:vAlign w:val="bottom"/>
          </w:tcPr>
          <w:p>
            <w:pPr>
              <w:jc w:val="center"/>
              <w:ind w:right="90"/>
              <w:spacing w:after="0" w:line="127" w:lineRule="exact"/>
              <w:rPr>
                <w:sz w:val="20"/>
                <w:szCs w:val="20"/>
                <w:color w:val="auto"/>
              </w:rPr>
            </w:pPr>
            <w:r>
              <w:rPr>
                <w:rFonts w:ascii="Times New Roman" w:cs="Times New Roman" w:eastAsia="Times New Roman" w:hAnsi="Times New Roman"/>
                <w:sz w:val="14"/>
                <w:szCs w:val="14"/>
                <w:b w:val="1"/>
                <w:bCs w:val="1"/>
                <w:color w:val="auto"/>
              </w:rPr>
              <w:t>90 Days</w:t>
            </w:r>
          </w:p>
        </w:tc>
        <w:tc>
          <w:tcPr>
            <w:tcW w:w="220" w:type="dxa"/>
            <w:vAlign w:val="bottom"/>
          </w:tcPr>
          <w:p>
            <w:pPr>
              <w:spacing w:after="0"/>
              <w:rPr>
                <w:sz w:val="11"/>
                <w:szCs w:val="11"/>
                <w:color w:val="auto"/>
              </w:rPr>
            </w:pPr>
          </w:p>
        </w:tc>
        <w:tc>
          <w:tcPr>
            <w:tcW w:w="920" w:type="dxa"/>
            <w:vAlign w:val="bottom"/>
            <w:vMerge w:val="restart"/>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20" w:type="dxa"/>
            <w:vAlign w:val="bottom"/>
          </w:tcPr>
          <w:p>
            <w:pPr>
              <w:spacing w:after="0"/>
              <w:rPr>
                <w:sz w:val="11"/>
                <w:szCs w:val="11"/>
                <w:color w:val="auto"/>
              </w:rPr>
            </w:pPr>
          </w:p>
        </w:tc>
        <w:tc>
          <w:tcPr>
            <w:tcW w:w="1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Total Accruing</w:t>
            </w:r>
          </w:p>
        </w:tc>
        <w:tc>
          <w:tcPr>
            <w:tcW w:w="140" w:type="dxa"/>
            <w:vAlign w:val="bottom"/>
          </w:tcPr>
          <w:p>
            <w:pPr>
              <w:spacing w:after="0"/>
              <w:rPr>
                <w:sz w:val="11"/>
                <w:szCs w:val="11"/>
                <w:color w:val="auto"/>
              </w:rPr>
            </w:pPr>
          </w:p>
        </w:tc>
        <w:tc>
          <w:tcPr>
            <w:tcW w:w="960" w:type="dxa"/>
            <w:vAlign w:val="bottom"/>
            <w:vMerge w:val="restart"/>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Nonaccruing</w:t>
            </w:r>
          </w:p>
        </w:tc>
        <w:tc>
          <w:tcPr>
            <w:tcW w:w="260" w:type="dxa"/>
            <w:vAlign w:val="bottom"/>
          </w:tcPr>
          <w:p>
            <w:pPr>
              <w:spacing w:after="0"/>
              <w:rPr>
                <w:sz w:val="11"/>
                <w:szCs w:val="11"/>
                <w:color w:val="auto"/>
              </w:rPr>
            </w:pPr>
          </w:p>
        </w:tc>
        <w:tc>
          <w:tcPr>
            <w:tcW w:w="900" w:type="dxa"/>
            <w:vAlign w:val="bottom"/>
            <w:vMerge w:val="restart"/>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3"/>
        </w:trPr>
        <w:tc>
          <w:tcPr>
            <w:tcW w:w="4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90"/>
              <w:spacing w:after="0" w:line="143" w:lineRule="exact"/>
              <w:rPr>
                <w:sz w:val="20"/>
                <w:szCs w:val="20"/>
                <w:color w:val="auto"/>
              </w:rPr>
            </w:pPr>
            <w:r>
              <w:rPr>
                <w:rFonts w:ascii="Times New Roman" w:cs="Times New Roman" w:eastAsia="Times New Roman" w:hAnsi="Times New Roman"/>
                <w:sz w:val="14"/>
                <w:szCs w:val="14"/>
                <w:b w:val="1"/>
                <w:bCs w:val="1"/>
                <w:color w:val="auto"/>
                <w:w w:val="97"/>
              </w:rPr>
              <w:t>or More</w:t>
            </w: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200" w:type="dxa"/>
            <w:vAlign w:val="bottom"/>
          </w:tcPr>
          <w:p>
            <w:pPr>
              <w:spacing w:after="0"/>
              <w:rPr>
                <w:sz w:val="16"/>
                <w:szCs w:val="16"/>
                <w:color w:val="auto"/>
              </w:rPr>
            </w:pPr>
          </w:p>
        </w:tc>
        <w:tc>
          <w:tcPr>
            <w:tcW w:w="92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7"/>
              </w:rPr>
              <w:t>Past Due</w:t>
            </w:r>
          </w:p>
        </w:tc>
        <w:tc>
          <w:tcPr>
            <w:tcW w:w="220" w:type="dxa"/>
            <w:vAlign w:val="bottom"/>
          </w:tcPr>
          <w:p>
            <w:pPr>
              <w:spacing w:after="0"/>
              <w:rPr>
                <w:sz w:val="16"/>
                <w:szCs w:val="16"/>
                <w:color w:val="auto"/>
              </w:rPr>
            </w:pPr>
          </w:p>
        </w:tc>
        <w:tc>
          <w:tcPr>
            <w:tcW w:w="920" w:type="dxa"/>
            <w:vAlign w:val="bottom"/>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2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Loans</w:t>
            </w:r>
          </w:p>
        </w:tc>
        <w:tc>
          <w:tcPr>
            <w:tcW w:w="140" w:type="dxa"/>
            <w:vAlign w:val="bottom"/>
          </w:tcPr>
          <w:p>
            <w:pPr>
              <w:spacing w:after="0"/>
              <w:rPr>
                <w:sz w:val="16"/>
                <w:szCs w:val="16"/>
                <w:color w:val="auto"/>
              </w:rPr>
            </w:pPr>
          </w:p>
        </w:tc>
        <w:tc>
          <w:tcPr>
            <w:tcW w:w="960" w:type="dxa"/>
            <w:vAlign w:val="bottom"/>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8"/>
              </w:rPr>
              <w:t>Loans</w:t>
            </w:r>
          </w:p>
        </w:tc>
        <w:tc>
          <w:tcPr>
            <w:tcW w:w="260" w:type="dxa"/>
            <w:vAlign w:val="bottom"/>
          </w:tcPr>
          <w:p>
            <w:pPr>
              <w:spacing w:after="0"/>
              <w:rPr>
                <w:sz w:val="16"/>
                <w:szCs w:val="16"/>
                <w:color w:val="auto"/>
              </w:rPr>
            </w:pPr>
          </w:p>
        </w:tc>
        <w:tc>
          <w:tcPr>
            <w:tcW w:w="900" w:type="dxa"/>
            <w:vAlign w:val="bottom"/>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w w:val="98"/>
              </w:rPr>
              <w:t>Loans</w:t>
            </w:r>
          </w:p>
        </w:tc>
        <w:tc>
          <w:tcPr>
            <w:tcW w:w="0" w:type="dxa"/>
            <w:vAlign w:val="bottom"/>
          </w:tcPr>
          <w:p>
            <w:pPr>
              <w:spacing w:after="0"/>
              <w:rPr>
                <w:sz w:val="1"/>
                <w:szCs w:val="1"/>
                <w:color w:val="auto"/>
              </w:rPr>
            </w:pPr>
          </w:p>
        </w:tc>
      </w:tr>
      <w:tr>
        <w:trPr>
          <w:trHeight w:val="183"/>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December 31, 2025</w:t>
            </w: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6,580</w:t>
            </w: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2,783,744</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2,790,433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27,893</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2,818,326</w:t>
            </w:r>
          </w:p>
        </w:tc>
        <w:tc>
          <w:tcPr>
            <w:tcW w:w="0" w:type="dxa"/>
            <w:vAlign w:val="bottom"/>
          </w:tcPr>
          <w:p>
            <w:pPr>
              <w:spacing w:after="0"/>
              <w:rPr>
                <w:sz w:val="1"/>
                <w:szCs w:val="1"/>
                <w:color w:val="auto"/>
              </w:rPr>
            </w:pPr>
          </w:p>
        </w:tc>
      </w:tr>
      <w:tr>
        <w:trPr>
          <w:trHeight w:val="205"/>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Construction and land development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Residential</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380,681</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380,740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2,033</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382,773</w:t>
            </w:r>
          </w:p>
        </w:tc>
        <w:tc>
          <w:tcPr>
            <w:tcW w:w="0" w:type="dxa"/>
            <w:vAlign w:val="bottom"/>
          </w:tcPr>
          <w:p>
            <w:pPr>
              <w:spacing w:after="0"/>
              <w:rPr>
                <w:sz w:val="1"/>
                <w:szCs w:val="1"/>
                <w:color w:val="auto"/>
              </w:rPr>
            </w:pPr>
          </w:p>
        </w:tc>
      </w:tr>
      <w:tr>
        <w:trPr>
          <w:trHeight w:val="205"/>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w:t>
            </w: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1,516,490</w:t>
            </w: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1,517,324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5,539</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1,522,863</w:t>
            </w:r>
          </w:p>
        </w:tc>
        <w:tc>
          <w:tcPr>
            <w:tcW w:w="0" w:type="dxa"/>
            <w:vAlign w:val="bottom"/>
          </w:tcPr>
          <w:p>
            <w:pPr>
              <w:spacing w:after="0"/>
              <w:rPr>
                <w:sz w:val="1"/>
                <w:szCs w:val="1"/>
                <w:color w:val="auto"/>
              </w:rPr>
            </w:pPr>
          </w:p>
        </w:tc>
      </w:tr>
      <w:tr>
        <w:trPr>
          <w:trHeight w:val="183"/>
        </w:trPr>
        <w:tc>
          <w:tcPr>
            <w:tcW w:w="43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construction and land development</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1,897,171</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1,898,064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7,572</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1,905,636</w:t>
            </w:r>
          </w:p>
        </w:tc>
        <w:tc>
          <w:tcPr>
            <w:tcW w:w="0" w:type="dxa"/>
            <w:vAlign w:val="bottom"/>
          </w:tcPr>
          <w:p>
            <w:pPr>
              <w:spacing w:after="0"/>
              <w:rPr>
                <w:sz w:val="1"/>
                <w:szCs w:val="1"/>
                <w:color w:val="auto"/>
              </w:rPr>
            </w:pPr>
          </w:p>
        </w:tc>
      </w:tr>
      <w:tr>
        <w:trPr>
          <w:trHeight w:val="205"/>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- 1-4 family mortgage</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First lien</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55,636</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3,727,587</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3,783,223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60,874</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3,844,097</w:t>
            </w:r>
          </w:p>
        </w:tc>
        <w:tc>
          <w:tcPr>
            <w:tcW w:w="0" w:type="dxa"/>
            <w:vAlign w:val="bottom"/>
          </w:tcPr>
          <w:p>
            <w:pPr>
              <w:spacing w:after="0"/>
              <w:rPr>
                <w:sz w:val="1"/>
                <w:szCs w:val="1"/>
                <w:color w:val="auto"/>
              </w:rPr>
            </w:pPr>
          </w:p>
        </w:tc>
      </w:tr>
      <w:tr>
        <w:trPr>
          <w:trHeight w:val="205"/>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Junior lien</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50,717</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51,467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1,476</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52,943</w:t>
            </w:r>
          </w:p>
        </w:tc>
        <w:tc>
          <w:tcPr>
            <w:tcW w:w="0" w:type="dxa"/>
            <w:vAlign w:val="bottom"/>
          </w:tcPr>
          <w:p>
            <w:pPr>
              <w:spacing w:after="0"/>
              <w:rPr>
                <w:sz w:val="1"/>
                <w:szCs w:val="1"/>
                <w:color w:val="auto"/>
              </w:rPr>
            </w:pPr>
          </w:p>
        </w:tc>
      </w:tr>
      <w:tr>
        <w:trPr>
          <w:trHeight w:val="191"/>
        </w:trPr>
        <w:tc>
          <w:tcPr>
            <w:tcW w:w="4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Home equity</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3,885</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731,034</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734,919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3,074</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737,993</w:t>
            </w:r>
          </w:p>
        </w:tc>
        <w:tc>
          <w:tcPr>
            <w:tcW w:w="0" w:type="dxa"/>
            <w:vAlign w:val="bottom"/>
          </w:tcPr>
          <w:p>
            <w:pPr>
              <w:spacing w:after="0"/>
              <w:rPr>
                <w:sz w:val="1"/>
                <w:szCs w:val="1"/>
                <w:color w:val="auto"/>
              </w:rPr>
            </w:pPr>
          </w:p>
        </w:tc>
      </w:tr>
      <w:tr>
        <w:trPr>
          <w:trHeight w:val="197"/>
        </w:trPr>
        <w:tc>
          <w:tcPr>
            <w:tcW w:w="4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real estate – 1-4 family mortgage</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60,264</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4,509,338</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4,569,609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65,424</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4,635,033</w:t>
            </w:r>
          </w:p>
        </w:tc>
        <w:tc>
          <w:tcPr>
            <w:tcW w:w="0" w:type="dxa"/>
            <w:vAlign w:val="bottom"/>
          </w:tcPr>
          <w:p>
            <w:pPr>
              <w:spacing w:after="0"/>
              <w:rPr>
                <w:sz w:val="1"/>
                <w:szCs w:val="1"/>
                <w:color w:val="auto"/>
              </w:rPr>
            </w:pPr>
          </w:p>
        </w:tc>
      </w:tr>
      <w:tr>
        <w:trPr>
          <w:trHeight w:val="190"/>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real estate - owner occupied</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9,109</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3,294,252</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3,303,361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31,303</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3,334,664</w:t>
            </w:r>
          </w:p>
        </w:tc>
        <w:tc>
          <w:tcPr>
            <w:tcW w:w="0" w:type="dxa"/>
            <w:vAlign w:val="bottom"/>
          </w:tcPr>
          <w:p>
            <w:pPr>
              <w:spacing w:after="0"/>
              <w:rPr>
                <w:sz w:val="1"/>
                <w:szCs w:val="1"/>
                <w:color w:val="auto"/>
              </w:rPr>
            </w:pPr>
          </w:p>
        </w:tc>
      </w:tr>
      <w:tr>
        <w:trPr>
          <w:trHeight w:val="205"/>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real estate - non-owner occupied</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Multi family</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1,391,994</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1,391,994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1,392,779</w:t>
            </w:r>
          </w:p>
        </w:tc>
        <w:tc>
          <w:tcPr>
            <w:tcW w:w="0" w:type="dxa"/>
            <w:vAlign w:val="bottom"/>
          </w:tcPr>
          <w:p>
            <w:pPr>
              <w:spacing w:after="0"/>
              <w:rPr>
                <w:sz w:val="1"/>
                <w:szCs w:val="1"/>
                <w:color w:val="auto"/>
              </w:rPr>
            </w:pPr>
          </w:p>
        </w:tc>
      </w:tr>
      <w:tr>
        <w:trPr>
          <w:trHeight w:val="205"/>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11,595</w:t>
            </w: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4,798,496</w:t>
            </w: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4,810,091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42,610</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4,852,701</w:t>
            </w:r>
          </w:p>
        </w:tc>
        <w:tc>
          <w:tcPr>
            <w:tcW w:w="0" w:type="dxa"/>
            <w:vAlign w:val="bottom"/>
          </w:tcPr>
          <w:p>
            <w:pPr>
              <w:spacing w:after="0"/>
              <w:rPr>
                <w:sz w:val="1"/>
                <w:szCs w:val="1"/>
                <w:color w:val="auto"/>
              </w:rPr>
            </w:pPr>
          </w:p>
        </w:tc>
      </w:tr>
      <w:tr>
        <w:trPr>
          <w:trHeight w:val="183"/>
        </w:trPr>
        <w:tc>
          <w:tcPr>
            <w:tcW w:w="43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commercial real estate - non-owner occupied</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11,595</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6,190,490</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6,202,085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43,395</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6,245,480</w:t>
            </w:r>
          </w:p>
        </w:tc>
        <w:tc>
          <w:tcPr>
            <w:tcW w:w="0" w:type="dxa"/>
            <w:vAlign w:val="bottom"/>
          </w:tcPr>
          <w:p>
            <w:pPr>
              <w:spacing w:after="0"/>
              <w:rPr>
                <w:sz w:val="1"/>
                <w:szCs w:val="1"/>
                <w:color w:val="auto"/>
              </w:rPr>
            </w:pPr>
          </w:p>
        </w:tc>
      </w:tr>
      <w:tr>
        <w:trPr>
          <w:trHeight w:val="205"/>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w:t>
            </w: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106,864</w:t>
            </w: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107,757</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107,900</w:t>
            </w:r>
          </w:p>
        </w:tc>
        <w:tc>
          <w:tcPr>
            <w:tcW w:w="0" w:type="dxa"/>
            <w:vAlign w:val="bottom"/>
          </w:tcPr>
          <w:p>
            <w:pPr>
              <w:spacing w:after="0"/>
              <w:rPr>
                <w:sz w:val="1"/>
                <w:szCs w:val="1"/>
                <w:color w:val="auto"/>
              </w:rPr>
            </w:pPr>
          </w:p>
        </w:tc>
      </w:tr>
      <w:tr>
        <w:trPr>
          <w:trHeight w:val="184"/>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net of unearned income</w:t>
            </w:r>
          </w:p>
        </w:tc>
        <w:tc>
          <w:tcPr>
            <w:tcW w:w="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89,162</w:t>
            </w:r>
          </w:p>
        </w:tc>
        <w:tc>
          <w:tcPr>
            <w:tcW w:w="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18,781,859</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18,871,309</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175,730</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19,047,039</w:t>
            </w:r>
          </w:p>
        </w:tc>
        <w:tc>
          <w:tcPr>
            <w:tcW w:w="0" w:type="dxa"/>
            <w:vAlign w:val="bottom"/>
          </w:tcPr>
          <w:p>
            <w:pPr>
              <w:spacing w:after="0"/>
              <w:rPr>
                <w:sz w:val="1"/>
                <w:szCs w:val="1"/>
                <w:color w:val="auto"/>
              </w:rPr>
            </w:pPr>
          </w:p>
        </w:tc>
      </w:tr>
      <w:tr>
        <w:trPr>
          <w:trHeight w:val="26"/>
        </w:trPr>
        <w:tc>
          <w:tcPr>
            <w:tcW w:w="4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3"/>
        </w:trPr>
        <w:tc>
          <w:tcPr>
            <w:tcW w:w="4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gridSpan w:val="3"/>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Accruing Loans</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4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vMerge w:val="restart"/>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30-89 Days</w:t>
            </w:r>
          </w:p>
        </w:tc>
        <w:tc>
          <w:tcPr>
            <w:tcW w:w="200" w:type="dxa"/>
            <w:vAlign w:val="bottom"/>
          </w:tcPr>
          <w:p>
            <w:pPr>
              <w:spacing w:after="0"/>
              <w:rPr>
                <w:sz w:val="10"/>
                <w:szCs w:val="10"/>
                <w:color w:val="auto"/>
              </w:rPr>
            </w:pPr>
          </w:p>
        </w:tc>
        <w:tc>
          <w:tcPr>
            <w:tcW w:w="920" w:type="dxa"/>
            <w:vAlign w:val="bottom"/>
          </w:tcPr>
          <w:p>
            <w:pPr>
              <w:jc w:val="center"/>
              <w:ind w:right="90"/>
              <w:spacing w:after="0" w:line="125" w:lineRule="exact"/>
              <w:rPr>
                <w:sz w:val="20"/>
                <w:szCs w:val="20"/>
                <w:color w:val="auto"/>
              </w:rPr>
            </w:pPr>
            <w:r>
              <w:rPr>
                <w:rFonts w:ascii="Times New Roman" w:cs="Times New Roman" w:eastAsia="Times New Roman" w:hAnsi="Times New Roman"/>
                <w:sz w:val="14"/>
                <w:szCs w:val="14"/>
                <w:b w:val="1"/>
                <w:bCs w:val="1"/>
                <w:color w:val="auto"/>
              </w:rPr>
              <w:t>90 Days</w:t>
            </w:r>
          </w:p>
        </w:tc>
        <w:tc>
          <w:tcPr>
            <w:tcW w:w="220" w:type="dxa"/>
            <w:vAlign w:val="bottom"/>
          </w:tcPr>
          <w:p>
            <w:pPr>
              <w:spacing w:after="0"/>
              <w:rPr>
                <w:sz w:val="10"/>
                <w:szCs w:val="10"/>
                <w:color w:val="auto"/>
              </w:rPr>
            </w:pPr>
          </w:p>
        </w:tc>
        <w:tc>
          <w:tcPr>
            <w:tcW w:w="920" w:type="dxa"/>
            <w:vAlign w:val="bottom"/>
            <w:vMerge w:val="restart"/>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20" w:type="dxa"/>
            <w:vAlign w:val="bottom"/>
          </w:tcPr>
          <w:p>
            <w:pPr>
              <w:spacing w:after="0"/>
              <w:rPr>
                <w:sz w:val="10"/>
                <w:szCs w:val="10"/>
                <w:color w:val="auto"/>
              </w:rPr>
            </w:pPr>
          </w:p>
        </w:tc>
        <w:tc>
          <w:tcPr>
            <w:tcW w:w="1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Total Accruing</w:t>
            </w:r>
          </w:p>
        </w:tc>
        <w:tc>
          <w:tcPr>
            <w:tcW w:w="140" w:type="dxa"/>
            <w:vAlign w:val="bottom"/>
          </w:tcPr>
          <w:p>
            <w:pPr>
              <w:spacing w:after="0"/>
              <w:rPr>
                <w:sz w:val="10"/>
                <w:szCs w:val="10"/>
                <w:color w:val="auto"/>
              </w:rPr>
            </w:pPr>
          </w:p>
        </w:tc>
        <w:tc>
          <w:tcPr>
            <w:tcW w:w="960" w:type="dxa"/>
            <w:vAlign w:val="bottom"/>
            <w:vMerge w:val="restart"/>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Nonaccruing</w:t>
            </w:r>
          </w:p>
        </w:tc>
        <w:tc>
          <w:tcPr>
            <w:tcW w:w="260" w:type="dxa"/>
            <w:vAlign w:val="bottom"/>
          </w:tcPr>
          <w:p>
            <w:pPr>
              <w:spacing w:after="0"/>
              <w:rPr>
                <w:sz w:val="10"/>
                <w:szCs w:val="10"/>
                <w:color w:val="auto"/>
              </w:rPr>
            </w:pPr>
          </w:p>
        </w:tc>
        <w:tc>
          <w:tcPr>
            <w:tcW w:w="900" w:type="dxa"/>
            <w:vAlign w:val="bottom"/>
            <w:vMerge w:val="restart"/>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5"/>
        </w:trPr>
        <w:tc>
          <w:tcPr>
            <w:tcW w:w="4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90"/>
              <w:spacing w:after="0" w:line="145" w:lineRule="exact"/>
              <w:rPr>
                <w:sz w:val="20"/>
                <w:szCs w:val="20"/>
                <w:color w:val="auto"/>
              </w:rPr>
            </w:pPr>
            <w:r>
              <w:rPr>
                <w:rFonts w:ascii="Times New Roman" w:cs="Times New Roman" w:eastAsia="Times New Roman" w:hAnsi="Times New Roman"/>
                <w:sz w:val="14"/>
                <w:szCs w:val="14"/>
                <w:b w:val="1"/>
                <w:bCs w:val="1"/>
                <w:color w:val="auto"/>
                <w:w w:val="97"/>
              </w:rPr>
              <w:t>or More</w:t>
            </w: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4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200" w:type="dxa"/>
            <w:vAlign w:val="bottom"/>
          </w:tcPr>
          <w:p>
            <w:pPr>
              <w:spacing w:after="0"/>
              <w:rPr>
                <w:sz w:val="16"/>
                <w:szCs w:val="16"/>
                <w:color w:val="auto"/>
              </w:rPr>
            </w:pPr>
          </w:p>
        </w:tc>
        <w:tc>
          <w:tcPr>
            <w:tcW w:w="92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7"/>
              </w:rPr>
              <w:t>Past Due</w:t>
            </w:r>
          </w:p>
        </w:tc>
        <w:tc>
          <w:tcPr>
            <w:tcW w:w="220" w:type="dxa"/>
            <w:vAlign w:val="bottom"/>
          </w:tcPr>
          <w:p>
            <w:pPr>
              <w:spacing w:after="0"/>
              <w:rPr>
                <w:sz w:val="16"/>
                <w:szCs w:val="16"/>
                <w:color w:val="auto"/>
              </w:rPr>
            </w:pPr>
          </w:p>
        </w:tc>
        <w:tc>
          <w:tcPr>
            <w:tcW w:w="920" w:type="dxa"/>
            <w:vAlign w:val="bottom"/>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2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Loans</w:t>
            </w:r>
          </w:p>
        </w:tc>
        <w:tc>
          <w:tcPr>
            <w:tcW w:w="140" w:type="dxa"/>
            <w:vAlign w:val="bottom"/>
          </w:tcPr>
          <w:p>
            <w:pPr>
              <w:spacing w:after="0"/>
              <w:rPr>
                <w:sz w:val="16"/>
                <w:szCs w:val="16"/>
                <w:color w:val="auto"/>
              </w:rPr>
            </w:pPr>
          </w:p>
        </w:tc>
        <w:tc>
          <w:tcPr>
            <w:tcW w:w="960" w:type="dxa"/>
            <w:vAlign w:val="bottom"/>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8"/>
              </w:rPr>
              <w:t>Loans</w:t>
            </w:r>
          </w:p>
        </w:tc>
        <w:tc>
          <w:tcPr>
            <w:tcW w:w="260" w:type="dxa"/>
            <w:vAlign w:val="bottom"/>
          </w:tcPr>
          <w:p>
            <w:pPr>
              <w:spacing w:after="0"/>
              <w:rPr>
                <w:sz w:val="16"/>
                <w:szCs w:val="16"/>
                <w:color w:val="auto"/>
              </w:rPr>
            </w:pPr>
          </w:p>
        </w:tc>
        <w:tc>
          <w:tcPr>
            <w:tcW w:w="900" w:type="dxa"/>
            <w:vAlign w:val="bottom"/>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w w:val="98"/>
              </w:rPr>
              <w:t>Loans</w:t>
            </w:r>
          </w:p>
        </w:tc>
        <w:tc>
          <w:tcPr>
            <w:tcW w:w="0" w:type="dxa"/>
            <w:vAlign w:val="bottom"/>
          </w:tcPr>
          <w:p>
            <w:pPr>
              <w:spacing w:after="0"/>
              <w:rPr>
                <w:sz w:val="1"/>
                <w:szCs w:val="1"/>
                <w:color w:val="auto"/>
              </w:rPr>
            </w:pPr>
          </w:p>
        </w:tc>
      </w:tr>
      <w:tr>
        <w:trPr>
          <w:trHeight w:val="184"/>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w:t>
            </w: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1,969,367</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1,970,328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5,958</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1,976,286</w:t>
            </w:r>
          </w:p>
        </w:tc>
        <w:tc>
          <w:tcPr>
            <w:tcW w:w="0" w:type="dxa"/>
            <w:vAlign w:val="bottom"/>
          </w:tcPr>
          <w:p>
            <w:pPr>
              <w:spacing w:after="0"/>
              <w:rPr>
                <w:sz w:val="1"/>
                <w:szCs w:val="1"/>
                <w:color w:val="auto"/>
              </w:rPr>
            </w:pPr>
          </w:p>
        </w:tc>
      </w:tr>
      <w:tr>
        <w:trPr>
          <w:trHeight w:val="205"/>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Construction and land development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Residential</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2,194</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253,244</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255,438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1,223</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256,661</w:t>
            </w:r>
          </w:p>
        </w:tc>
        <w:tc>
          <w:tcPr>
            <w:tcW w:w="0" w:type="dxa"/>
            <w:vAlign w:val="bottom"/>
          </w:tcPr>
          <w:p>
            <w:pPr>
              <w:spacing w:after="0"/>
              <w:rPr>
                <w:sz w:val="1"/>
                <w:szCs w:val="1"/>
                <w:color w:val="auto"/>
              </w:rPr>
            </w:pPr>
          </w:p>
        </w:tc>
      </w:tr>
      <w:tr>
        <w:trPr>
          <w:trHeight w:val="205"/>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1,913</w:t>
            </w: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1,059,917</w:t>
            </w: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1,061,997</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3,151</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1,065,148</w:t>
            </w:r>
          </w:p>
        </w:tc>
        <w:tc>
          <w:tcPr>
            <w:tcW w:w="0" w:type="dxa"/>
            <w:vAlign w:val="bottom"/>
          </w:tcPr>
          <w:p>
            <w:pPr>
              <w:spacing w:after="0"/>
              <w:rPr>
                <w:sz w:val="1"/>
                <w:szCs w:val="1"/>
                <w:color w:val="auto"/>
              </w:rPr>
            </w:pPr>
          </w:p>
        </w:tc>
      </w:tr>
      <w:tr>
        <w:trPr>
          <w:trHeight w:val="183"/>
        </w:trPr>
        <w:tc>
          <w:tcPr>
            <w:tcW w:w="43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construction and land development</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2,361</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1,913</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1,313,161</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1,317,435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4,374</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1,321,809</w:t>
            </w:r>
          </w:p>
        </w:tc>
        <w:tc>
          <w:tcPr>
            <w:tcW w:w="0" w:type="dxa"/>
            <w:vAlign w:val="bottom"/>
          </w:tcPr>
          <w:p>
            <w:pPr>
              <w:spacing w:after="0"/>
              <w:rPr>
                <w:sz w:val="1"/>
                <w:szCs w:val="1"/>
                <w:color w:val="auto"/>
              </w:rPr>
            </w:pPr>
          </w:p>
        </w:tc>
      </w:tr>
      <w:tr>
        <w:trPr>
          <w:trHeight w:val="205"/>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- 1-4 family mortgage</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First lien</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29,755</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2,721,625</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2,751,392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54,301</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2,805,693</w:t>
            </w:r>
          </w:p>
        </w:tc>
        <w:tc>
          <w:tcPr>
            <w:tcW w:w="0" w:type="dxa"/>
            <w:vAlign w:val="bottom"/>
          </w:tcPr>
          <w:p>
            <w:pPr>
              <w:spacing w:after="0"/>
              <w:rPr>
                <w:sz w:val="1"/>
                <w:szCs w:val="1"/>
                <w:color w:val="auto"/>
              </w:rPr>
            </w:pPr>
          </w:p>
        </w:tc>
      </w:tr>
      <w:tr>
        <w:trPr>
          <w:trHeight w:val="205"/>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Junior lien</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24,283</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24,329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25,441</w:t>
            </w:r>
          </w:p>
        </w:tc>
        <w:tc>
          <w:tcPr>
            <w:tcW w:w="0" w:type="dxa"/>
            <w:vAlign w:val="bottom"/>
          </w:tcPr>
          <w:p>
            <w:pPr>
              <w:spacing w:after="0"/>
              <w:rPr>
                <w:sz w:val="1"/>
                <w:szCs w:val="1"/>
                <w:color w:val="auto"/>
              </w:rPr>
            </w:pPr>
          </w:p>
        </w:tc>
      </w:tr>
      <w:tr>
        <w:trPr>
          <w:trHeight w:val="191"/>
        </w:trPr>
        <w:tc>
          <w:tcPr>
            <w:tcW w:w="4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Home equity</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3,186</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537,570</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540,791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3,369</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544,160</w:t>
            </w:r>
          </w:p>
        </w:tc>
        <w:tc>
          <w:tcPr>
            <w:tcW w:w="0" w:type="dxa"/>
            <w:vAlign w:val="bottom"/>
          </w:tcPr>
          <w:p>
            <w:pPr>
              <w:spacing w:after="0"/>
              <w:rPr>
                <w:sz w:val="1"/>
                <w:szCs w:val="1"/>
                <w:color w:val="auto"/>
              </w:rPr>
            </w:pPr>
          </w:p>
        </w:tc>
      </w:tr>
      <w:tr>
        <w:trPr>
          <w:trHeight w:val="197"/>
        </w:trPr>
        <w:tc>
          <w:tcPr>
            <w:tcW w:w="4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real estate – 1-4 family mortgage</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32,987</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3,283,478</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3,316,512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58,782</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3,375,294</w:t>
            </w:r>
          </w:p>
        </w:tc>
        <w:tc>
          <w:tcPr>
            <w:tcW w:w="0" w:type="dxa"/>
            <w:vAlign w:val="bottom"/>
          </w:tcPr>
          <w:p>
            <w:pPr>
              <w:spacing w:after="0"/>
              <w:rPr>
                <w:sz w:val="1"/>
                <w:szCs w:val="1"/>
                <w:color w:val="auto"/>
              </w:rPr>
            </w:pPr>
          </w:p>
        </w:tc>
      </w:tr>
      <w:tr>
        <w:trPr>
          <w:trHeight w:val="190"/>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real estate - owner occupied</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2,650</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1,879,350</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1,882,365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12,314</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1,894,679</w:t>
            </w:r>
          </w:p>
        </w:tc>
        <w:tc>
          <w:tcPr>
            <w:tcW w:w="0" w:type="dxa"/>
            <w:vAlign w:val="bottom"/>
          </w:tcPr>
          <w:p>
            <w:pPr>
              <w:spacing w:after="0"/>
              <w:rPr>
                <w:sz w:val="1"/>
                <w:szCs w:val="1"/>
                <w:color w:val="auto"/>
              </w:rPr>
            </w:pPr>
          </w:p>
        </w:tc>
      </w:tr>
      <w:tr>
        <w:trPr>
          <w:trHeight w:val="205"/>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real estate - non-owner occupied</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Multi family</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985,037</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985,037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985,037</w:t>
            </w:r>
          </w:p>
        </w:tc>
        <w:tc>
          <w:tcPr>
            <w:tcW w:w="0" w:type="dxa"/>
            <w:vAlign w:val="bottom"/>
          </w:tcPr>
          <w:p>
            <w:pPr>
              <w:spacing w:after="0"/>
              <w:rPr>
                <w:sz w:val="1"/>
                <w:szCs w:val="1"/>
                <w:color w:val="auto"/>
              </w:rPr>
            </w:pPr>
          </w:p>
        </w:tc>
      </w:tr>
      <w:tr>
        <w:trPr>
          <w:trHeight w:val="205"/>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3,212,295</w:t>
            </w: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3,212,621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29,280</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3,241,901</w:t>
            </w:r>
          </w:p>
        </w:tc>
        <w:tc>
          <w:tcPr>
            <w:tcW w:w="0" w:type="dxa"/>
            <w:vAlign w:val="bottom"/>
          </w:tcPr>
          <w:p>
            <w:pPr>
              <w:spacing w:after="0"/>
              <w:rPr>
                <w:sz w:val="1"/>
                <w:szCs w:val="1"/>
                <w:color w:val="auto"/>
              </w:rPr>
            </w:pPr>
          </w:p>
        </w:tc>
      </w:tr>
      <w:tr>
        <w:trPr>
          <w:trHeight w:val="183"/>
        </w:trPr>
        <w:tc>
          <w:tcPr>
            <w:tcW w:w="43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commercial real estate - non-owner occupied</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4,197,332</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4,197,658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29,280</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4,226,938</w:t>
            </w:r>
          </w:p>
        </w:tc>
        <w:tc>
          <w:tcPr>
            <w:tcW w:w="0" w:type="dxa"/>
            <w:vAlign w:val="bottom"/>
          </w:tcPr>
          <w:p>
            <w:pPr>
              <w:spacing w:after="0"/>
              <w:rPr>
                <w:sz w:val="1"/>
                <w:szCs w:val="1"/>
                <w:color w:val="auto"/>
              </w:rPr>
            </w:pPr>
          </w:p>
        </w:tc>
      </w:tr>
      <w:tr>
        <w:trPr>
          <w:trHeight w:val="205"/>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89,215</w:t>
            </w: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89,911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90,014</w:t>
            </w:r>
          </w:p>
        </w:tc>
        <w:tc>
          <w:tcPr>
            <w:tcW w:w="0" w:type="dxa"/>
            <w:vAlign w:val="bottom"/>
          </w:tcPr>
          <w:p>
            <w:pPr>
              <w:spacing w:after="0"/>
              <w:rPr>
                <w:sz w:val="1"/>
                <w:szCs w:val="1"/>
                <w:color w:val="auto"/>
              </w:rPr>
            </w:pPr>
          </w:p>
        </w:tc>
      </w:tr>
      <w:tr>
        <w:trPr>
          <w:trHeight w:val="184"/>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net of unearned income</w:t>
            </w:r>
          </w:p>
        </w:tc>
        <w:tc>
          <w:tcPr>
            <w:tcW w:w="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39,842</w:t>
            </w:r>
          </w:p>
        </w:tc>
        <w:tc>
          <w:tcPr>
            <w:tcW w:w="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2,464</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12,731,903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12,774,209</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110,811</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12,885,020</w:t>
            </w:r>
          </w:p>
        </w:tc>
        <w:tc>
          <w:tcPr>
            <w:tcW w:w="0" w:type="dxa"/>
            <w:vAlign w:val="bottom"/>
          </w:tcPr>
          <w:p>
            <w:pPr>
              <w:spacing w:after="0"/>
              <w:rPr>
                <w:sz w:val="1"/>
                <w:szCs w:val="1"/>
                <w:color w:val="auto"/>
              </w:rPr>
            </w:pPr>
          </w:p>
        </w:tc>
      </w:tr>
      <w:tr>
        <w:trPr>
          <w:trHeight w:val="26"/>
        </w:trPr>
        <w:tc>
          <w:tcPr>
            <w:tcW w:w="4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Loans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Modifications to Borrowers Experiencing Financial Difficulty</w:t>
      </w:r>
    </w:p>
    <w:p>
      <w:pPr>
        <w:spacing w:after="0" w:line="21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The following tables present the amortized cost basis of loans that were experiencing financial difficulty and modified during the years ended December 31, 2025 and 2024, respectively, by class of financing receivable and by type of modification.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0" w:type="dxa"/>
            <w:vAlign w:val="bottom"/>
            <w:gridSpan w:val="9"/>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Twelve months ended December 31, 2025</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6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3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1020" w:type="dxa"/>
            <w:vAlign w:val="bottom"/>
            <w:gridSpan w:val="3"/>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w w:val="99"/>
              </w:rPr>
              <w:t>Interest Rate</w:t>
            </w:r>
          </w:p>
        </w:tc>
        <w:tc>
          <w:tcPr>
            <w:tcW w:w="1020" w:type="dxa"/>
            <w:vAlign w:val="bottom"/>
            <w:gridSpan w:val="3"/>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w w:val="99"/>
              </w:rPr>
              <w:t>Interest Rate</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620" w:type="dxa"/>
            <w:vAlign w:val="bottom"/>
          </w:tcPr>
          <w:p>
            <w:pPr>
              <w:spacing w:after="0"/>
              <w:rPr>
                <w:sz w:val="12"/>
                <w:szCs w:val="12"/>
                <w:color w:val="auto"/>
              </w:rPr>
            </w:pPr>
          </w:p>
        </w:tc>
        <w:tc>
          <w:tcPr>
            <w:tcW w:w="10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Interest Rate</w:t>
            </w:r>
          </w:p>
        </w:tc>
        <w:tc>
          <w:tcPr>
            <w:tcW w:w="120" w:type="dxa"/>
            <w:vAlign w:val="bottom"/>
          </w:tcPr>
          <w:p>
            <w:pPr>
              <w:spacing w:after="0"/>
              <w:rPr>
                <w:sz w:val="12"/>
                <w:szCs w:val="12"/>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140" w:type="dxa"/>
            <w:vAlign w:val="bottom"/>
          </w:tcPr>
          <w:p>
            <w:pPr>
              <w:spacing w:after="0"/>
              <w:rPr>
                <w:sz w:val="12"/>
                <w:szCs w:val="12"/>
                <w:color w:val="auto"/>
              </w:rPr>
            </w:pPr>
          </w:p>
        </w:tc>
        <w:tc>
          <w:tcPr>
            <w:tcW w:w="8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100" w:type="dxa"/>
            <w:vAlign w:val="bottom"/>
          </w:tcPr>
          <w:p>
            <w:pPr>
              <w:spacing w:after="0"/>
              <w:rPr>
                <w:sz w:val="12"/>
                <w:szCs w:val="12"/>
                <w:color w:val="auto"/>
              </w:rPr>
            </w:pPr>
          </w:p>
        </w:tc>
        <w:tc>
          <w:tcPr>
            <w:tcW w:w="860" w:type="dxa"/>
            <w:vAlign w:val="bottom"/>
            <w:gridSpan w:val="2"/>
          </w:tcPr>
          <w:p>
            <w:pPr>
              <w:jc w:val="center"/>
              <w:ind w:right="220"/>
              <w:spacing w:after="0" w:line="143" w:lineRule="exact"/>
              <w:rPr>
                <w:sz w:val="20"/>
                <w:szCs w:val="20"/>
                <w:color w:val="auto"/>
              </w:rPr>
            </w:pPr>
            <w:r>
              <w:rPr>
                <w:rFonts w:ascii="Times New Roman" w:cs="Times New Roman" w:eastAsia="Times New Roman" w:hAnsi="Times New Roman"/>
                <w:sz w:val="14"/>
                <w:szCs w:val="14"/>
                <w:b w:val="1"/>
                <w:bCs w:val="1"/>
                <w:color w:val="auto"/>
              </w:rPr>
              <w:t>Extension</w:t>
            </w:r>
          </w:p>
        </w:tc>
        <w:tc>
          <w:tcPr>
            <w:tcW w:w="1020" w:type="dxa"/>
            <w:vAlign w:val="bottom"/>
            <w:gridSpan w:val="3"/>
          </w:tcPr>
          <w:p>
            <w:pPr>
              <w:jc w:val="center"/>
              <w:ind w:right="120"/>
              <w:spacing w:after="0" w:line="143" w:lineRule="exact"/>
              <w:rPr>
                <w:sz w:val="20"/>
                <w:szCs w:val="20"/>
                <w:color w:val="auto"/>
              </w:rPr>
            </w:pPr>
            <w:r>
              <w:rPr>
                <w:rFonts w:ascii="Times New Roman" w:cs="Times New Roman" w:eastAsia="Times New Roman" w:hAnsi="Times New Roman"/>
                <w:sz w:val="14"/>
                <w:szCs w:val="14"/>
                <w:b w:val="1"/>
                <w:bCs w:val="1"/>
                <w:color w:val="auto"/>
                <w:w w:val="98"/>
              </w:rPr>
              <w:t>Reduction and</w:t>
            </w:r>
          </w:p>
        </w:tc>
        <w:tc>
          <w:tcPr>
            <w:tcW w:w="1020" w:type="dxa"/>
            <w:vAlign w:val="bottom"/>
            <w:gridSpan w:val="3"/>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rPr>
              <w:t>Reduction and</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60" w:type="dxa"/>
            <w:vAlign w:val="bottom"/>
            <w:gridSpan w:val="3"/>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rPr>
              <w:t>and Payment</w:t>
            </w: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140" w:type="dxa"/>
            <w:vAlign w:val="bottom"/>
          </w:tcPr>
          <w:p>
            <w:pPr>
              <w:spacing w:after="0"/>
              <w:rPr>
                <w:sz w:val="12"/>
                <w:szCs w:val="12"/>
                <w:color w:val="auto"/>
              </w:rPr>
            </w:pPr>
          </w:p>
        </w:tc>
        <w:tc>
          <w:tcPr>
            <w:tcW w:w="88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w w:val="98"/>
              </w:rPr>
              <w:t>Payment</w:t>
            </w:r>
          </w:p>
        </w:tc>
        <w:tc>
          <w:tcPr>
            <w:tcW w:w="140" w:type="dxa"/>
            <w:vAlign w:val="bottom"/>
          </w:tcPr>
          <w:p>
            <w:pPr>
              <w:spacing w:after="0"/>
              <w:rPr>
                <w:sz w:val="12"/>
                <w:szCs w:val="12"/>
                <w:color w:val="auto"/>
              </w:rPr>
            </w:pPr>
          </w:p>
        </w:tc>
        <w:tc>
          <w:tcPr>
            <w:tcW w:w="580" w:type="dxa"/>
            <w:vAlign w:val="bottom"/>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6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 of Loans</w:t>
            </w:r>
          </w:p>
        </w:tc>
        <w:tc>
          <w:tcPr>
            <w:tcW w:w="0" w:type="dxa"/>
            <w:vAlign w:val="bottom"/>
          </w:tcPr>
          <w:p>
            <w:pPr>
              <w:spacing w:after="0"/>
              <w:rPr>
                <w:sz w:val="1"/>
                <w:szCs w:val="1"/>
                <w:color w:val="auto"/>
              </w:rPr>
            </w:pPr>
          </w:p>
        </w:tc>
      </w:tr>
      <w:tr>
        <w:trPr>
          <w:trHeight w:val="192"/>
        </w:trPr>
        <w:tc>
          <w:tcPr>
            <w:tcW w:w="3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Reduction</w:t>
            </w:r>
          </w:p>
        </w:tc>
        <w:tc>
          <w:tcPr>
            <w:tcW w:w="12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Extension</w:t>
            </w:r>
          </w:p>
        </w:tc>
        <w:tc>
          <w:tcPr>
            <w:tcW w:w="14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Delay</w:t>
            </w:r>
          </w:p>
        </w:tc>
        <w:tc>
          <w:tcPr>
            <w:tcW w:w="10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Delay</w:t>
            </w:r>
          </w:p>
        </w:tc>
        <w:tc>
          <w:tcPr>
            <w:tcW w:w="12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Extension</w:t>
            </w:r>
          </w:p>
        </w:tc>
        <w:tc>
          <w:tcPr>
            <w:tcW w:w="14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Delay</w:t>
            </w:r>
          </w:p>
        </w:tc>
        <w:tc>
          <w:tcPr>
            <w:tcW w:w="1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27,470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28,456</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1.01 %</w:t>
            </w:r>
          </w:p>
        </w:tc>
        <w:tc>
          <w:tcPr>
            <w:tcW w:w="0" w:type="dxa"/>
            <w:vAlign w:val="bottom"/>
          </w:tcPr>
          <w:p>
            <w:pPr>
              <w:spacing w:after="0"/>
              <w:rPr>
                <w:sz w:val="1"/>
                <w:szCs w:val="1"/>
                <w:color w:val="auto"/>
              </w:rPr>
            </w:pPr>
          </w:p>
        </w:tc>
      </w:tr>
      <w:tr>
        <w:trPr>
          <w:trHeight w:val="190"/>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Construction and land development</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Residential</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3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362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construction and land development</w:t>
            </w: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 - 1-4 family mortgage</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First lien</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0.01 %</w:t>
            </w:r>
          </w:p>
        </w:tc>
        <w:tc>
          <w:tcPr>
            <w:tcW w:w="0" w:type="dxa"/>
            <w:vAlign w:val="bottom"/>
          </w:tcPr>
          <w:p>
            <w:pPr>
              <w:spacing w:after="0"/>
              <w:rPr>
                <w:sz w:val="1"/>
                <w:szCs w:val="1"/>
                <w:color w:val="auto"/>
              </w:rPr>
            </w:pPr>
          </w:p>
        </w:tc>
      </w:tr>
      <w:tr>
        <w:trPr>
          <w:trHeight w:val="190"/>
        </w:trPr>
        <w:tc>
          <w:tcPr>
            <w:tcW w:w="3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Junior lien</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3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Home equity</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0.05</w:t>
            </w:r>
          </w:p>
        </w:tc>
        <w:tc>
          <w:tcPr>
            <w:tcW w:w="0" w:type="dxa"/>
            <w:vAlign w:val="bottom"/>
          </w:tcPr>
          <w:p>
            <w:pPr>
              <w:spacing w:after="0"/>
              <w:rPr>
                <w:sz w:val="1"/>
                <w:szCs w:val="1"/>
                <w:color w:val="auto"/>
              </w:rPr>
            </w:pPr>
          </w:p>
        </w:tc>
      </w:tr>
      <w:tr>
        <w:trPr>
          <w:trHeight w:val="183"/>
        </w:trPr>
        <w:tc>
          <w:tcPr>
            <w:tcW w:w="3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real estate – 1-4 family mortgage</w:t>
            </w: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706</w:t>
            </w:r>
          </w:p>
        </w:tc>
        <w:tc>
          <w:tcPr>
            <w:tcW w:w="8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0.02</w:t>
            </w:r>
          </w:p>
        </w:tc>
        <w:tc>
          <w:tcPr>
            <w:tcW w:w="0" w:type="dxa"/>
            <w:vAlign w:val="bottom"/>
          </w:tcPr>
          <w:p>
            <w:pPr>
              <w:spacing w:after="0"/>
              <w:rPr>
                <w:sz w:val="1"/>
                <w:szCs w:val="1"/>
                <w:color w:val="auto"/>
              </w:rPr>
            </w:pPr>
          </w:p>
        </w:tc>
      </w:tr>
      <w:tr>
        <w:trPr>
          <w:trHeight w:val="205"/>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real estate - owner occupied</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2,801</w:t>
            </w: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0.08</w:t>
            </w:r>
          </w:p>
        </w:tc>
        <w:tc>
          <w:tcPr>
            <w:tcW w:w="0" w:type="dxa"/>
            <w:vAlign w:val="bottom"/>
          </w:tcPr>
          <w:p>
            <w:pPr>
              <w:spacing w:after="0"/>
              <w:rPr>
                <w:sz w:val="1"/>
                <w:szCs w:val="1"/>
                <w:color w:val="auto"/>
              </w:rPr>
            </w:pPr>
          </w:p>
        </w:tc>
      </w:tr>
      <w:tr>
        <w:trPr>
          <w:trHeight w:val="190"/>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real estate - non-owner occupied</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Multi family</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3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3,163</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0.07</w:t>
            </w:r>
          </w:p>
        </w:tc>
        <w:tc>
          <w:tcPr>
            <w:tcW w:w="0" w:type="dxa"/>
            <w:vAlign w:val="bottom"/>
          </w:tcPr>
          <w:p>
            <w:pPr>
              <w:spacing w:after="0"/>
              <w:rPr>
                <w:sz w:val="1"/>
                <w:szCs w:val="1"/>
                <w:color w:val="auto"/>
              </w:rPr>
            </w:pPr>
          </w:p>
        </w:tc>
      </w:tr>
      <w:tr>
        <w:trPr>
          <w:trHeight w:val="197"/>
        </w:trPr>
        <w:tc>
          <w:tcPr>
            <w:tcW w:w="362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commercial real estate - non-owner occupied</w:t>
            </w: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3,163</w:t>
            </w:r>
          </w:p>
        </w:tc>
        <w:tc>
          <w:tcPr>
            <w:tcW w:w="8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0.05</w:t>
            </w:r>
          </w:p>
        </w:tc>
        <w:tc>
          <w:tcPr>
            <w:tcW w:w="0" w:type="dxa"/>
            <w:vAlign w:val="bottom"/>
          </w:tcPr>
          <w:p>
            <w:pPr>
              <w:spacing w:after="0"/>
              <w:rPr>
                <w:sz w:val="1"/>
                <w:szCs w:val="1"/>
                <w:color w:val="auto"/>
              </w:rPr>
            </w:pPr>
          </w:p>
        </w:tc>
      </w:tr>
      <w:tr>
        <w:trPr>
          <w:trHeight w:val="191"/>
        </w:trPr>
        <w:tc>
          <w:tcPr>
            <w:tcW w:w="3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Consumer</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0.09</w:t>
            </w:r>
          </w:p>
        </w:tc>
        <w:tc>
          <w:tcPr>
            <w:tcW w:w="0" w:type="dxa"/>
            <w:vAlign w:val="bottom"/>
          </w:tcPr>
          <w:p>
            <w:pPr>
              <w:spacing w:after="0"/>
              <w:rPr>
                <w:sz w:val="1"/>
                <w:szCs w:val="1"/>
                <w:color w:val="auto"/>
              </w:rPr>
            </w:pPr>
          </w:p>
        </w:tc>
      </w:tr>
      <w:tr>
        <w:trPr>
          <w:trHeight w:val="222"/>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net of unearned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31,368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35,257</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0.19 %</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Loans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40" w:type="dxa"/>
            <w:vAlign w:val="bottom"/>
            <w:gridSpan w:val="9"/>
          </w:tcPr>
          <w:p>
            <w:pPr>
              <w:ind w:left="80"/>
              <w:spacing w:after="0"/>
              <w:rPr>
                <w:sz w:val="20"/>
                <w:szCs w:val="20"/>
                <w:color w:val="auto"/>
              </w:rPr>
            </w:pPr>
            <w:r>
              <w:rPr>
                <w:rFonts w:ascii="Times New Roman" w:cs="Times New Roman" w:eastAsia="Times New Roman" w:hAnsi="Times New Roman"/>
                <w:sz w:val="14"/>
                <w:szCs w:val="14"/>
                <w:b w:val="1"/>
                <w:bCs w:val="1"/>
                <w:color w:val="auto"/>
              </w:rPr>
              <w:t>Twelve months ended December 31, 2024</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6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10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Interest Rate</w:t>
            </w:r>
          </w:p>
        </w:tc>
        <w:tc>
          <w:tcPr>
            <w:tcW w:w="100" w:type="dxa"/>
            <w:vAlign w:val="bottom"/>
          </w:tcPr>
          <w:p>
            <w:pPr>
              <w:spacing w:after="0"/>
              <w:rPr>
                <w:sz w:val="11"/>
                <w:szCs w:val="11"/>
                <w:color w:val="auto"/>
              </w:rPr>
            </w:pPr>
          </w:p>
        </w:tc>
        <w:tc>
          <w:tcPr>
            <w:tcW w:w="980" w:type="dxa"/>
            <w:vAlign w:val="bottom"/>
            <w:gridSpan w:val="2"/>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w w:val="99"/>
              </w:rPr>
              <w:t>Interest Rate</w:t>
            </w:r>
          </w:p>
        </w:tc>
        <w:tc>
          <w:tcPr>
            <w:tcW w:w="10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Interest Rate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00"/>
              <w:spacing w:after="0" w:line="143" w:lineRule="exact"/>
              <w:rPr>
                <w:sz w:val="20"/>
                <w:szCs w:val="20"/>
                <w:color w:val="auto"/>
              </w:rPr>
            </w:pPr>
            <w:r>
              <w:rPr>
                <w:rFonts w:ascii="Times New Roman" w:cs="Times New Roman" w:eastAsia="Times New Roman" w:hAnsi="Times New Roman"/>
                <w:sz w:val="14"/>
                <w:szCs w:val="14"/>
                <w:b w:val="1"/>
                <w:bCs w:val="1"/>
                <w:color w:val="auto"/>
              </w:rPr>
              <w:t>Reduction,</w:t>
            </w:r>
          </w:p>
        </w:tc>
        <w:tc>
          <w:tcPr>
            <w:tcW w:w="10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600" w:type="dxa"/>
            <w:vAlign w:val="bottom"/>
          </w:tcPr>
          <w:p>
            <w:pPr>
              <w:spacing w:after="0"/>
              <w:rPr>
                <w:sz w:val="12"/>
                <w:szCs w:val="12"/>
                <w:color w:val="auto"/>
              </w:rPr>
            </w:pPr>
          </w:p>
        </w:tc>
        <w:tc>
          <w:tcPr>
            <w:tcW w:w="10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Interest Rate</w:t>
            </w:r>
          </w:p>
        </w:tc>
        <w:tc>
          <w:tcPr>
            <w:tcW w:w="120" w:type="dxa"/>
            <w:vAlign w:val="bottom"/>
          </w:tcPr>
          <w:p>
            <w:pPr>
              <w:spacing w:after="0"/>
              <w:rPr>
                <w:sz w:val="12"/>
                <w:szCs w:val="12"/>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120" w:type="dxa"/>
            <w:vAlign w:val="bottom"/>
          </w:tcPr>
          <w:p>
            <w:pPr>
              <w:spacing w:after="0"/>
              <w:rPr>
                <w:sz w:val="12"/>
                <w:szCs w:val="12"/>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Payment</w:t>
            </w: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Extension</w:t>
            </w:r>
          </w:p>
        </w:tc>
        <w:tc>
          <w:tcPr>
            <w:tcW w:w="1020" w:type="dxa"/>
            <w:vAlign w:val="bottom"/>
            <w:gridSpan w:val="3"/>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Reduction and</w:t>
            </w:r>
          </w:p>
        </w:tc>
        <w:tc>
          <w:tcPr>
            <w:tcW w:w="100" w:type="dxa"/>
            <w:vAlign w:val="bottom"/>
          </w:tcPr>
          <w:p>
            <w:pPr>
              <w:spacing w:after="0"/>
              <w:rPr>
                <w:sz w:val="12"/>
                <w:szCs w:val="12"/>
                <w:color w:val="auto"/>
              </w:rPr>
            </w:pPr>
          </w:p>
        </w:tc>
        <w:tc>
          <w:tcPr>
            <w:tcW w:w="98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Reduction</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 Total</w:t>
            </w:r>
          </w:p>
        </w:tc>
        <w:tc>
          <w:tcPr>
            <w:tcW w:w="0" w:type="dxa"/>
            <w:vAlign w:val="bottom"/>
          </w:tcPr>
          <w:p>
            <w:pPr>
              <w:spacing w:after="0"/>
              <w:rPr>
                <w:sz w:val="1"/>
                <w:szCs w:val="1"/>
                <w:color w:val="auto"/>
              </w:rPr>
            </w:pPr>
          </w:p>
        </w:tc>
      </w:tr>
      <w:tr>
        <w:trPr>
          <w:trHeight w:val="132"/>
        </w:trPr>
        <w:tc>
          <w:tcPr>
            <w:tcW w:w="260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940" w:type="dxa"/>
            <w:vAlign w:val="bottom"/>
            <w:gridSpan w:val="3"/>
          </w:tcPr>
          <w:p>
            <w:pPr>
              <w:jc w:val="center"/>
              <w:ind w:right="100"/>
              <w:spacing w:after="0" w:line="132" w:lineRule="exact"/>
              <w:rPr>
                <w:sz w:val="20"/>
                <w:szCs w:val="20"/>
                <w:color w:val="auto"/>
              </w:rPr>
            </w:pPr>
            <w:r>
              <w:rPr>
                <w:rFonts w:ascii="Times New Roman" w:cs="Times New Roman" w:eastAsia="Times New Roman" w:hAnsi="Times New Roman"/>
                <w:sz w:val="14"/>
                <w:szCs w:val="14"/>
                <w:b w:val="1"/>
                <w:bCs w:val="1"/>
                <w:color w:val="auto"/>
              </w:rPr>
              <w:t>and Payment</w:t>
            </w:r>
          </w:p>
        </w:tc>
        <w:tc>
          <w:tcPr>
            <w:tcW w:w="120" w:type="dxa"/>
            <w:vAlign w:val="bottom"/>
          </w:tcPr>
          <w:p>
            <w:pPr>
              <w:spacing w:after="0"/>
              <w:rPr>
                <w:sz w:val="11"/>
                <w:szCs w:val="11"/>
                <w:color w:val="auto"/>
              </w:rPr>
            </w:pPr>
          </w:p>
        </w:tc>
        <w:tc>
          <w:tcPr>
            <w:tcW w:w="90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1080" w:type="dxa"/>
            <w:vAlign w:val="bottom"/>
            <w:gridSpan w:val="3"/>
          </w:tcPr>
          <w:p>
            <w:pPr>
              <w:jc w:val="center"/>
              <w:ind w:right="100"/>
              <w:spacing w:after="0" w:line="132" w:lineRule="exact"/>
              <w:rPr>
                <w:sz w:val="20"/>
                <w:szCs w:val="20"/>
                <w:color w:val="auto"/>
              </w:rPr>
            </w:pPr>
            <w:r>
              <w:rPr>
                <w:rFonts w:ascii="Times New Roman" w:cs="Times New Roman" w:eastAsia="Times New Roman" w:hAnsi="Times New Roman"/>
                <w:sz w:val="14"/>
                <w:szCs w:val="14"/>
                <w:b w:val="1"/>
                <w:bCs w:val="1"/>
                <w:color w:val="auto"/>
              </w:rPr>
              <w:t>Extension and</w:t>
            </w:r>
          </w:p>
        </w:tc>
        <w:tc>
          <w:tcPr>
            <w:tcW w:w="1000" w:type="dxa"/>
            <w:vAlign w:val="bottom"/>
            <w:gridSpan w:val="3"/>
          </w:tcPr>
          <w:p>
            <w:pPr>
              <w:jc w:val="center"/>
              <w:ind w:right="120"/>
              <w:spacing w:after="0" w:line="132" w:lineRule="exact"/>
              <w:rPr>
                <w:sz w:val="20"/>
                <w:szCs w:val="20"/>
                <w:color w:val="auto"/>
              </w:rPr>
            </w:pPr>
            <w:r>
              <w:rPr>
                <w:rFonts w:ascii="Times New Roman" w:cs="Times New Roman" w:eastAsia="Times New Roman" w:hAnsi="Times New Roman"/>
                <w:sz w:val="14"/>
                <w:szCs w:val="14"/>
                <w:b w:val="1"/>
                <w:bCs w:val="1"/>
                <w:color w:val="auto"/>
              </w:rPr>
              <w:t>and Payment</w:t>
            </w:r>
          </w:p>
        </w:tc>
        <w:tc>
          <w:tcPr>
            <w:tcW w:w="140" w:type="dxa"/>
            <w:vAlign w:val="bottom"/>
          </w:tcPr>
          <w:p>
            <w:pPr>
              <w:spacing w:after="0"/>
              <w:rPr>
                <w:sz w:val="11"/>
                <w:szCs w:val="11"/>
                <w:color w:val="auto"/>
              </w:rPr>
            </w:pPr>
          </w:p>
        </w:tc>
        <w:tc>
          <w:tcPr>
            <w:tcW w:w="640" w:type="dxa"/>
            <w:vAlign w:val="bottom"/>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Reduction</w:t>
            </w:r>
          </w:p>
        </w:tc>
        <w:tc>
          <w:tcPr>
            <w:tcW w:w="12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Extension</w:t>
            </w:r>
          </w:p>
        </w:tc>
        <w:tc>
          <w:tcPr>
            <w:tcW w:w="12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Delay</w:t>
            </w:r>
          </w:p>
        </w:tc>
        <w:tc>
          <w:tcPr>
            <w:tcW w:w="10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Delay</w:t>
            </w:r>
          </w:p>
        </w:tc>
        <w:tc>
          <w:tcPr>
            <w:tcW w:w="12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Extension</w:t>
            </w: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Payment Delay</w:t>
            </w:r>
          </w:p>
        </w:tc>
        <w:tc>
          <w:tcPr>
            <w:tcW w:w="10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Delay</w:t>
            </w: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0" w:type="dxa"/>
            <w:vAlign w:val="bottom"/>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0" w:type="dxa"/>
            <w:vAlign w:val="bottom"/>
          </w:tcPr>
          <w:p>
            <w:pPr>
              <w:spacing w:after="0"/>
              <w:rPr>
                <w:sz w:val="1"/>
                <w:szCs w:val="1"/>
                <w:color w:val="auto"/>
              </w:rPr>
            </w:pPr>
          </w:p>
        </w:tc>
      </w:tr>
      <w:tr>
        <w:trPr>
          <w:trHeight w:val="196"/>
        </w:trPr>
        <w:tc>
          <w:tcPr>
            <w:tcW w:w="2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3,215</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3,847</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0.19 %</w:t>
            </w:r>
          </w:p>
        </w:tc>
        <w:tc>
          <w:tcPr>
            <w:tcW w:w="0" w:type="dxa"/>
            <w:vAlign w:val="bottom"/>
          </w:tcPr>
          <w:p>
            <w:pPr>
              <w:spacing w:after="0"/>
              <w:rPr>
                <w:sz w:val="1"/>
                <w:szCs w:val="1"/>
                <w:color w:val="auto"/>
              </w:rPr>
            </w:pPr>
          </w:p>
        </w:tc>
      </w:tr>
      <w:tr>
        <w:trPr>
          <w:trHeight w:val="190"/>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Construction and land development</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Residential</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26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construction and land development</w:t>
            </w: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 - 1-4 family mortgage</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First lien</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2,308</w:t>
            </w:r>
          </w:p>
        </w:tc>
        <w:tc>
          <w:tcPr>
            <w:tcW w:w="8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0.08</w:t>
            </w:r>
          </w:p>
        </w:tc>
        <w:tc>
          <w:tcPr>
            <w:tcW w:w="0" w:type="dxa"/>
            <w:vAlign w:val="bottom"/>
          </w:tcPr>
          <w:p>
            <w:pPr>
              <w:spacing w:after="0"/>
              <w:rPr>
                <w:sz w:val="1"/>
                <w:szCs w:val="1"/>
                <w:color w:val="auto"/>
              </w:rPr>
            </w:pPr>
          </w:p>
        </w:tc>
      </w:tr>
      <w:tr>
        <w:trPr>
          <w:trHeight w:val="190"/>
        </w:trPr>
        <w:tc>
          <w:tcPr>
            <w:tcW w:w="2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Junior lien</w:t>
            </w:r>
          </w:p>
        </w:tc>
        <w:tc>
          <w:tcPr>
            <w:tcW w:w="1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33</w:t>
            </w: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0.13</w:t>
            </w:r>
          </w:p>
        </w:tc>
        <w:tc>
          <w:tcPr>
            <w:tcW w:w="0" w:type="dxa"/>
            <w:vAlign w:val="bottom"/>
          </w:tcPr>
          <w:p>
            <w:pPr>
              <w:spacing w:after="0"/>
              <w:rPr>
                <w:sz w:val="1"/>
                <w:szCs w:val="1"/>
                <w:color w:val="auto"/>
              </w:rPr>
            </w:pPr>
          </w:p>
        </w:tc>
      </w:tr>
      <w:tr>
        <w:trPr>
          <w:trHeight w:val="205"/>
        </w:trPr>
        <w:tc>
          <w:tcPr>
            <w:tcW w:w="2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Home equity</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103</w:t>
            </w:r>
          </w:p>
        </w:tc>
        <w:tc>
          <w:tcPr>
            <w:tcW w:w="8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0.02</w:t>
            </w:r>
          </w:p>
        </w:tc>
        <w:tc>
          <w:tcPr>
            <w:tcW w:w="0" w:type="dxa"/>
            <w:vAlign w:val="bottom"/>
          </w:tcPr>
          <w:p>
            <w:pPr>
              <w:spacing w:after="0"/>
              <w:rPr>
                <w:sz w:val="1"/>
                <w:szCs w:val="1"/>
                <w:color w:val="auto"/>
              </w:rPr>
            </w:pPr>
          </w:p>
        </w:tc>
      </w:tr>
      <w:tr>
        <w:trPr>
          <w:trHeight w:val="183"/>
        </w:trPr>
        <w:tc>
          <w:tcPr>
            <w:tcW w:w="26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real estate – 1-4 family mortgage</w:t>
            </w: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2,046</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2,444</w:t>
            </w:r>
          </w:p>
        </w:tc>
        <w:tc>
          <w:tcPr>
            <w:tcW w:w="8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0.07</w:t>
            </w:r>
          </w:p>
        </w:tc>
        <w:tc>
          <w:tcPr>
            <w:tcW w:w="0" w:type="dxa"/>
            <w:vAlign w:val="bottom"/>
          </w:tcPr>
          <w:p>
            <w:pPr>
              <w:spacing w:after="0"/>
              <w:rPr>
                <w:sz w:val="1"/>
                <w:szCs w:val="1"/>
                <w:color w:val="auto"/>
              </w:rPr>
            </w:pPr>
          </w:p>
        </w:tc>
      </w:tr>
      <w:tr>
        <w:trPr>
          <w:trHeight w:val="205"/>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real estate - owner occupied</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8,885</w:t>
            </w:r>
          </w:p>
        </w:tc>
        <w:tc>
          <w:tcPr>
            <w:tcW w:w="8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0.47</w:t>
            </w:r>
          </w:p>
        </w:tc>
        <w:tc>
          <w:tcPr>
            <w:tcW w:w="0" w:type="dxa"/>
            <w:vAlign w:val="bottom"/>
          </w:tcPr>
          <w:p>
            <w:pPr>
              <w:spacing w:after="0"/>
              <w:rPr>
                <w:sz w:val="1"/>
                <w:szCs w:val="1"/>
                <w:color w:val="auto"/>
              </w:rPr>
            </w:pPr>
          </w:p>
        </w:tc>
      </w:tr>
      <w:tr>
        <w:trPr>
          <w:trHeight w:val="135"/>
        </w:trPr>
        <w:tc>
          <w:tcPr>
            <w:tcW w:w="26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Commercial real estate - non-owner</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occupied</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Multi family</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19,288</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19,367</w:t>
            </w:r>
          </w:p>
        </w:tc>
        <w:tc>
          <w:tcPr>
            <w:tcW w:w="8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0.60</w:t>
            </w:r>
          </w:p>
        </w:tc>
        <w:tc>
          <w:tcPr>
            <w:tcW w:w="0" w:type="dxa"/>
            <w:vAlign w:val="bottom"/>
          </w:tcPr>
          <w:p>
            <w:pPr>
              <w:spacing w:after="0"/>
              <w:rPr>
                <w:sz w:val="1"/>
                <w:szCs w:val="1"/>
                <w:color w:val="auto"/>
              </w:rPr>
            </w:pPr>
          </w:p>
        </w:tc>
      </w:tr>
      <w:tr>
        <w:trPr>
          <w:trHeight w:val="122"/>
        </w:trPr>
        <w:tc>
          <w:tcPr>
            <w:tcW w:w="2600" w:type="dxa"/>
            <w:vAlign w:val="bottom"/>
            <w:shd w:val="clear" w:color="auto" w:fill="CCEEFF"/>
          </w:tcPr>
          <w:p>
            <w:pPr>
              <w:ind w:left="240"/>
              <w:spacing w:after="0" w:line="123" w:lineRule="exact"/>
              <w:rPr>
                <w:sz w:val="20"/>
                <w:szCs w:val="20"/>
                <w:color w:val="auto"/>
              </w:rPr>
            </w:pPr>
            <w:r>
              <w:rPr>
                <w:rFonts w:ascii="Times New Roman" w:cs="Times New Roman" w:eastAsia="Times New Roman" w:hAnsi="Times New Roman"/>
                <w:sz w:val="14"/>
                <w:szCs w:val="14"/>
                <w:color w:val="auto"/>
              </w:rPr>
              <w:t>Total commercial real estate - non-owner</w:t>
            </w:r>
          </w:p>
        </w:tc>
        <w:tc>
          <w:tcPr>
            <w:tcW w:w="1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19,288</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19,367</w:t>
            </w:r>
          </w:p>
        </w:tc>
        <w:tc>
          <w:tcPr>
            <w:tcW w:w="8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0.46</w:t>
            </w:r>
          </w:p>
        </w:tc>
        <w:tc>
          <w:tcPr>
            <w:tcW w:w="0" w:type="dxa"/>
            <w:vAlign w:val="bottom"/>
          </w:tcPr>
          <w:p>
            <w:pPr>
              <w:spacing w:after="0"/>
              <w:rPr>
                <w:sz w:val="1"/>
                <w:szCs w:val="1"/>
                <w:color w:val="auto"/>
              </w:rPr>
            </w:pPr>
          </w:p>
        </w:tc>
      </w:tr>
      <w:tr>
        <w:trPr>
          <w:trHeight w:val="194"/>
        </w:trPr>
        <w:tc>
          <w:tcPr>
            <w:tcW w:w="2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occupied</w:t>
            </w:r>
          </w:p>
        </w:tc>
        <w:tc>
          <w:tcPr>
            <w:tcW w:w="12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Consumer</w:t>
            </w:r>
          </w:p>
        </w:tc>
        <w:tc>
          <w:tcPr>
            <w:tcW w:w="1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16</w:t>
            </w: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0.02</w:t>
            </w:r>
          </w:p>
        </w:tc>
        <w:tc>
          <w:tcPr>
            <w:tcW w:w="0" w:type="dxa"/>
            <w:vAlign w:val="bottom"/>
          </w:tcPr>
          <w:p>
            <w:pPr>
              <w:spacing w:after="0"/>
              <w:rPr>
                <w:sz w:val="1"/>
                <w:szCs w:val="1"/>
                <w:color w:val="auto"/>
              </w:rPr>
            </w:pPr>
          </w:p>
        </w:tc>
      </w:tr>
      <w:tr>
        <w:trPr>
          <w:trHeight w:val="222"/>
        </w:trPr>
        <w:tc>
          <w:tcPr>
            <w:tcW w:w="2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net of unearned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20,798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34,559</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0.27 %</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Loans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weighted average financial effect of loan modifications by class of financing receivable for the periods presented.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Twelve months ended December 31, 2025</w:t>
            </w:r>
          </w:p>
        </w:tc>
        <w:tc>
          <w:tcPr>
            <w:tcW w:w="5760" w:type="dxa"/>
            <w:vAlign w:val="bottom"/>
          </w:tcPr>
          <w:p>
            <w:pPr>
              <w:spacing w:after="0"/>
              <w:rPr>
                <w:sz w:val="19"/>
                <w:szCs w:val="19"/>
                <w:color w:val="auto"/>
              </w:rPr>
            </w:pPr>
          </w:p>
        </w:tc>
      </w:tr>
      <w:tr>
        <w:trPr>
          <w:trHeight w:val="231"/>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Loan Type</w:t>
            </w: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Effect</w:t>
            </w:r>
          </w:p>
        </w:tc>
      </w:tr>
      <w:tr>
        <w:trPr>
          <w:trHeight w:val="204"/>
        </w:trPr>
        <w:tc>
          <w:tcPr>
            <w:tcW w:w="5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Rate Reduction</w:t>
            </w:r>
          </w:p>
        </w:tc>
        <w:tc>
          <w:tcPr>
            <w:tcW w:w="100" w:type="dxa"/>
            <w:vAlign w:val="bottom"/>
            <w:tcBorders>
              <w:top w:val="single" w:sz="8" w:color="CCEEFF"/>
            </w:tcBorders>
            <w:shd w:val="clear" w:color="auto" w:fill="CCEEFF"/>
          </w:tcPr>
          <w:p>
            <w:pPr>
              <w:spacing w:after="0"/>
              <w:rPr>
                <w:sz w:val="17"/>
                <w:szCs w:val="17"/>
                <w:color w:val="auto"/>
              </w:rPr>
            </w:pPr>
          </w:p>
        </w:tc>
        <w:tc>
          <w:tcPr>
            <w:tcW w:w="5760" w:type="dxa"/>
            <w:vAlign w:val="bottom"/>
            <w:tcBorders>
              <w:top w:val="single" w:sz="8" w:color="auto"/>
            </w:tcBorders>
            <w:shd w:val="clear" w:color="auto" w:fill="CCEEFF"/>
          </w:tcPr>
          <w:p>
            <w:pPr>
              <w:spacing w:after="0"/>
              <w:rPr>
                <w:sz w:val="17"/>
                <w:szCs w:val="17"/>
                <w:color w:val="auto"/>
              </w:rPr>
            </w:pPr>
          </w:p>
        </w:tc>
      </w:tr>
      <w:tr>
        <w:trPr>
          <w:trHeight w:val="209"/>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Commercial real estate - owner occupied</w:t>
            </w:r>
          </w:p>
        </w:tc>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Reduced the interest rate 485 basis points</w:t>
            </w:r>
          </w:p>
        </w:tc>
      </w:tr>
      <w:tr>
        <w:trPr>
          <w:trHeight w:val="212"/>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Term Extension</w:t>
            </w:r>
          </w:p>
        </w:tc>
        <w:tc>
          <w:tcPr>
            <w:tcW w:w="5760" w:type="dxa"/>
            <w:vAlign w:val="bottom"/>
            <w:shd w:val="clear" w:color="auto" w:fill="CCEEFF"/>
          </w:tcPr>
          <w:p>
            <w:pPr>
              <w:spacing w:after="0"/>
              <w:rPr>
                <w:sz w:val="18"/>
                <w:szCs w:val="18"/>
                <w:color w:val="auto"/>
              </w:rPr>
            </w:pPr>
          </w:p>
        </w:tc>
      </w:tr>
      <w:tr>
        <w:trPr>
          <w:trHeight w:val="209"/>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Extended the term 12 months</w:t>
            </w:r>
          </w:p>
        </w:tc>
      </w:tr>
      <w:tr>
        <w:trPr>
          <w:trHeight w:val="212"/>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Construction and land development - Other</w:t>
            </w:r>
          </w:p>
        </w:tc>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Extended the term 60 months</w:t>
            </w:r>
          </w:p>
        </w:tc>
      </w:tr>
      <w:tr>
        <w:trPr>
          <w:trHeight w:val="209"/>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Real estate - 1-4 family mortgage - First lien</w:t>
            </w:r>
          </w:p>
        </w:tc>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Extended the term 12 months</w:t>
            </w:r>
          </w:p>
        </w:tc>
      </w:tr>
      <w:tr>
        <w:trPr>
          <w:trHeight w:val="212"/>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 estate - 1-4 family mortgage - Home equity</w:t>
            </w:r>
          </w:p>
        </w:tc>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Extended the term 56 months</w:t>
            </w:r>
          </w:p>
        </w:tc>
      </w:tr>
      <w:tr>
        <w:trPr>
          <w:trHeight w:val="209"/>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Commercial real estate - owner occupied</w:t>
            </w:r>
          </w:p>
        </w:tc>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Extended the term 7 months</w:t>
            </w:r>
          </w:p>
        </w:tc>
      </w:tr>
      <w:tr>
        <w:trPr>
          <w:trHeight w:val="212"/>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real estate - non-owner occupied - Other</w:t>
            </w:r>
          </w:p>
        </w:tc>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Extended the term 12 months</w:t>
            </w:r>
          </w:p>
        </w:tc>
      </w:tr>
      <w:tr>
        <w:trPr>
          <w:trHeight w:val="209"/>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Extended the term 124 months</w:t>
            </w:r>
          </w:p>
        </w:tc>
      </w:tr>
      <w:tr>
        <w:trPr>
          <w:trHeight w:val="212"/>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Payment Delay</w:t>
            </w:r>
          </w:p>
        </w:tc>
        <w:tc>
          <w:tcPr>
            <w:tcW w:w="5760" w:type="dxa"/>
            <w:vAlign w:val="bottom"/>
            <w:shd w:val="clear" w:color="auto" w:fill="CCEEFF"/>
          </w:tcPr>
          <w:p>
            <w:pPr>
              <w:spacing w:after="0"/>
              <w:rPr>
                <w:sz w:val="18"/>
                <w:szCs w:val="18"/>
                <w:color w:val="auto"/>
              </w:rPr>
            </w:pPr>
          </w:p>
        </w:tc>
      </w:tr>
      <w:tr>
        <w:trPr>
          <w:trHeight w:val="209"/>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Delayed the payment 14 months</w:t>
            </w:r>
          </w:p>
        </w:tc>
      </w:tr>
      <w:tr>
        <w:trPr>
          <w:trHeight w:val="212"/>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 estate - 1-4 family mortgage - First lien</w:t>
            </w:r>
          </w:p>
        </w:tc>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Delayed the payment 16 months</w:t>
            </w:r>
          </w:p>
        </w:tc>
      </w:tr>
      <w:tr>
        <w:trPr>
          <w:trHeight w:val="209"/>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Real estate - 1-4 family mortgage - Home equity</w:t>
            </w:r>
          </w:p>
        </w:tc>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Delayed the payment 52 months</w:t>
            </w:r>
          </w:p>
        </w:tc>
      </w:tr>
      <w:tr>
        <w:trPr>
          <w:trHeight w:val="212"/>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real estate - non-owner occupied - Other</w:t>
            </w:r>
          </w:p>
        </w:tc>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Delayed the payment 6 months</w:t>
            </w:r>
          </w:p>
        </w:tc>
      </w:tr>
      <w:tr>
        <w:trPr>
          <w:trHeight w:val="209"/>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Delayed the payment 23 months</w:t>
            </w:r>
          </w:p>
        </w:tc>
      </w:tr>
      <w:tr>
        <w:trPr>
          <w:trHeight w:val="212"/>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Combination - Term Extension and Payment Delay</w:t>
            </w:r>
          </w:p>
        </w:tc>
        <w:tc>
          <w:tcPr>
            <w:tcW w:w="5760" w:type="dxa"/>
            <w:vAlign w:val="bottom"/>
            <w:shd w:val="clear" w:color="auto" w:fill="CCEEFF"/>
          </w:tcPr>
          <w:p>
            <w:pPr>
              <w:spacing w:after="0"/>
              <w:rPr>
                <w:sz w:val="18"/>
                <w:szCs w:val="18"/>
                <w:color w:val="auto"/>
              </w:rPr>
            </w:pPr>
          </w:p>
        </w:tc>
      </w:tr>
      <w:tr>
        <w:trPr>
          <w:trHeight w:val="209"/>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Extended the term and delayed the payment 29 months</w:t>
            </w:r>
          </w:p>
        </w:tc>
      </w:tr>
      <w:tr>
        <w:trPr>
          <w:trHeight w:val="212"/>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 estate - 1-4 family mortgage - First lien</w:t>
            </w:r>
          </w:p>
        </w:tc>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Extended the term and delayed the payment 11 months</w:t>
            </w:r>
          </w:p>
        </w:tc>
      </w:tr>
      <w:tr>
        <w:trPr>
          <w:trHeight w:val="209"/>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Real estate - 1-4 family mortgage - Home equity</w:t>
            </w:r>
          </w:p>
        </w:tc>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Extended the term and delayed the payment 69 months</w:t>
            </w:r>
          </w:p>
        </w:tc>
      </w:tr>
      <w:tr>
        <w:trPr>
          <w:trHeight w:val="212"/>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real estate - non-owner occupied - Other</w:t>
            </w:r>
          </w:p>
        </w:tc>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Extended the term and delayed the payment 15 months</w:t>
            </w:r>
          </w:p>
        </w:tc>
      </w:tr>
      <w:tr>
        <w:trPr>
          <w:trHeight w:val="209"/>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Extended the term and delayed the payment 45 months</w:t>
            </w:r>
          </w:p>
        </w:tc>
      </w:tr>
      <w:tr>
        <w:trPr>
          <w:trHeight w:val="212"/>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Combination - Interest Rate Reduction and Term Extension</w:t>
            </w:r>
          </w:p>
        </w:tc>
        <w:tc>
          <w:tcPr>
            <w:tcW w:w="5760" w:type="dxa"/>
            <w:vAlign w:val="bottom"/>
            <w:shd w:val="clear" w:color="auto" w:fill="CCEEFF"/>
          </w:tcPr>
          <w:p>
            <w:pPr>
              <w:spacing w:after="0"/>
              <w:rPr>
                <w:sz w:val="18"/>
                <w:szCs w:val="18"/>
                <w:color w:val="auto"/>
              </w:rPr>
            </w:pPr>
          </w:p>
        </w:tc>
      </w:tr>
      <w:tr>
        <w:trPr>
          <w:trHeight w:val="209"/>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Commercial real estate - owner occupied</w:t>
            </w:r>
          </w:p>
        </w:tc>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Reduced the interest rate 45 basis points and extended the term 80 months</w:t>
            </w:r>
          </w:p>
        </w:tc>
      </w:tr>
      <w:tr>
        <w:trPr>
          <w:trHeight w:val="212"/>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real estate - non-owner occupied - Other</w:t>
            </w:r>
          </w:p>
        </w:tc>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Reduced the interest rate 45 basis points and extended the term 81 months</w:t>
            </w:r>
          </w:p>
        </w:tc>
      </w:tr>
      <w:tr>
        <w:trPr>
          <w:trHeight w:val="210"/>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Combination - Interest Rate Reduction and Payment Delay</w:t>
            </w:r>
          </w:p>
        </w:tc>
        <w:tc>
          <w:tcPr>
            <w:tcW w:w="5760" w:type="dxa"/>
            <w:vAlign w:val="bottom"/>
          </w:tcPr>
          <w:p>
            <w:pPr>
              <w:spacing w:after="0"/>
              <w:rPr>
                <w:sz w:val="18"/>
                <w:szCs w:val="18"/>
                <w:color w:val="auto"/>
              </w:rPr>
            </w:pPr>
          </w:p>
        </w:tc>
      </w:tr>
      <w:tr>
        <w:trPr>
          <w:trHeight w:val="211"/>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Reduced the interest rate 150 basis points and delayed the payment 60 months</w:t>
            </w:r>
          </w:p>
        </w:tc>
      </w:tr>
      <w:tr>
        <w:trPr>
          <w:trHeight w:val="881"/>
        </w:trPr>
        <w:tc>
          <w:tcPr>
            <w:tcW w:w="5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99</w:t>
            </w:r>
          </w:p>
        </w:tc>
      </w:tr>
      <w:tr>
        <w:trPr>
          <w:trHeight w:val="112"/>
        </w:trPr>
        <w:tc>
          <w:tcPr>
            <w:tcW w:w="5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7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Loans (continued)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Twelve months ended December 31, 2024</w:t>
            </w:r>
          </w:p>
        </w:tc>
        <w:tc>
          <w:tcPr>
            <w:tcW w:w="5760" w:type="dxa"/>
            <w:vAlign w:val="bottom"/>
          </w:tcPr>
          <w:p>
            <w:pPr>
              <w:spacing w:after="0"/>
              <w:rPr>
                <w:sz w:val="19"/>
                <w:szCs w:val="19"/>
                <w:color w:val="auto"/>
              </w:rPr>
            </w:pPr>
          </w:p>
        </w:tc>
      </w:tr>
      <w:tr>
        <w:trPr>
          <w:trHeight w:val="231"/>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Loan Type</w:t>
            </w: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Effect</w:t>
            </w:r>
          </w:p>
        </w:tc>
      </w:tr>
      <w:tr>
        <w:trPr>
          <w:trHeight w:val="204"/>
        </w:trPr>
        <w:tc>
          <w:tcPr>
            <w:tcW w:w="5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Rate Reduction</w:t>
            </w:r>
          </w:p>
        </w:tc>
        <w:tc>
          <w:tcPr>
            <w:tcW w:w="100" w:type="dxa"/>
            <w:vAlign w:val="bottom"/>
            <w:tcBorders>
              <w:top w:val="single" w:sz="8" w:color="CCEEFF"/>
            </w:tcBorders>
            <w:shd w:val="clear" w:color="auto" w:fill="CCEEFF"/>
          </w:tcPr>
          <w:p>
            <w:pPr>
              <w:spacing w:after="0"/>
              <w:rPr>
                <w:sz w:val="17"/>
                <w:szCs w:val="17"/>
                <w:color w:val="auto"/>
              </w:rPr>
            </w:pPr>
          </w:p>
        </w:tc>
        <w:tc>
          <w:tcPr>
            <w:tcW w:w="5760" w:type="dxa"/>
            <w:vAlign w:val="bottom"/>
            <w:tcBorders>
              <w:top w:val="single" w:sz="8" w:color="auto"/>
            </w:tcBorders>
            <w:shd w:val="clear" w:color="auto" w:fill="CCEEFF"/>
          </w:tcPr>
          <w:p>
            <w:pPr>
              <w:spacing w:after="0"/>
              <w:rPr>
                <w:sz w:val="17"/>
                <w:szCs w:val="17"/>
                <w:color w:val="auto"/>
              </w:rPr>
            </w:pPr>
          </w:p>
        </w:tc>
      </w:tr>
      <w:tr>
        <w:trPr>
          <w:trHeight w:val="209"/>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Reduced the interest rate 46 basis points</w:t>
            </w:r>
          </w:p>
        </w:tc>
      </w:tr>
      <w:tr>
        <w:trPr>
          <w:trHeight w:val="212"/>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real estate - owner occupied</w:t>
            </w:r>
          </w:p>
        </w:tc>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Reduced the interest rate 47 basis points</w:t>
            </w:r>
          </w:p>
        </w:tc>
      </w:tr>
      <w:tr>
        <w:trPr>
          <w:trHeight w:val="210"/>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Term Extension</w:t>
            </w:r>
          </w:p>
        </w:tc>
        <w:tc>
          <w:tcPr>
            <w:tcW w:w="5760" w:type="dxa"/>
            <w:vAlign w:val="bottom"/>
          </w:tcPr>
          <w:p>
            <w:pPr>
              <w:spacing w:after="0"/>
              <w:rPr>
                <w:sz w:val="18"/>
                <w:szCs w:val="18"/>
                <w:color w:val="auto"/>
              </w:rPr>
            </w:pPr>
          </w:p>
        </w:tc>
      </w:tr>
      <w:tr>
        <w:trPr>
          <w:trHeight w:val="211"/>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Extended the term 8 months</w:t>
            </w:r>
          </w:p>
        </w:tc>
      </w:tr>
      <w:tr>
        <w:trPr>
          <w:trHeight w:val="209"/>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Real estate - 1-4 family mortgage - First lien</w:t>
            </w:r>
          </w:p>
        </w:tc>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Extended the term 39 months</w:t>
            </w:r>
          </w:p>
        </w:tc>
      </w:tr>
      <w:tr>
        <w:trPr>
          <w:trHeight w:val="212"/>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 estate - 1-4 family mortgage - Junior lien</w:t>
            </w:r>
          </w:p>
        </w:tc>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Extended the term 24 months</w:t>
            </w:r>
          </w:p>
        </w:tc>
      </w:tr>
      <w:tr>
        <w:trPr>
          <w:trHeight w:val="209"/>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Real estate - 1-4 family mortgage - Home equity</w:t>
            </w:r>
          </w:p>
        </w:tc>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Extended the term 16 months</w:t>
            </w:r>
          </w:p>
        </w:tc>
      </w:tr>
      <w:tr>
        <w:trPr>
          <w:trHeight w:val="212"/>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real estate - owner occupied</w:t>
            </w:r>
          </w:p>
        </w:tc>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Extended the term 8 months</w:t>
            </w:r>
          </w:p>
        </w:tc>
      </w:tr>
      <w:tr>
        <w:trPr>
          <w:trHeight w:val="209"/>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Commercial real estate - non-owner occupied - Other</w:t>
            </w:r>
          </w:p>
        </w:tc>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Extended the term 18 months</w:t>
            </w:r>
          </w:p>
        </w:tc>
      </w:tr>
      <w:tr>
        <w:trPr>
          <w:trHeight w:val="212"/>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Payment Delay</w:t>
            </w:r>
          </w:p>
        </w:tc>
        <w:tc>
          <w:tcPr>
            <w:tcW w:w="5760" w:type="dxa"/>
            <w:vAlign w:val="bottom"/>
            <w:shd w:val="clear" w:color="auto" w:fill="CCEEFF"/>
          </w:tcPr>
          <w:p>
            <w:pPr>
              <w:spacing w:after="0"/>
              <w:rPr>
                <w:sz w:val="18"/>
                <w:szCs w:val="18"/>
                <w:color w:val="auto"/>
              </w:rPr>
            </w:pPr>
          </w:p>
        </w:tc>
      </w:tr>
      <w:tr>
        <w:trPr>
          <w:trHeight w:val="209"/>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Delayed the payment 8 months</w:t>
            </w:r>
          </w:p>
        </w:tc>
      </w:tr>
      <w:tr>
        <w:trPr>
          <w:trHeight w:val="212"/>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 estate - 1-4 family mortgage - First lien</w:t>
            </w:r>
          </w:p>
        </w:tc>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Delayed the payment 42 months</w:t>
            </w:r>
          </w:p>
        </w:tc>
      </w:tr>
      <w:tr>
        <w:trPr>
          <w:trHeight w:val="209"/>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Commercial real estate - owner occupied</w:t>
            </w:r>
          </w:p>
        </w:tc>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Delayed the payment 40 months</w:t>
            </w:r>
          </w:p>
        </w:tc>
      </w:tr>
      <w:tr>
        <w:trPr>
          <w:trHeight w:val="212"/>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real estate - non-owner occupied - Other</w:t>
            </w:r>
          </w:p>
        </w:tc>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Delayed the payment 9 months</w:t>
            </w:r>
          </w:p>
        </w:tc>
      </w:tr>
      <w:tr>
        <w:trPr>
          <w:trHeight w:val="209"/>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Delayed the payment 17 months</w:t>
            </w:r>
          </w:p>
        </w:tc>
      </w:tr>
      <w:tr>
        <w:trPr>
          <w:trHeight w:val="212"/>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Combination - Term Extension and Payment Delay</w:t>
            </w:r>
          </w:p>
        </w:tc>
        <w:tc>
          <w:tcPr>
            <w:tcW w:w="5760" w:type="dxa"/>
            <w:vAlign w:val="bottom"/>
            <w:shd w:val="clear" w:color="auto" w:fill="CCEEFF"/>
          </w:tcPr>
          <w:p>
            <w:pPr>
              <w:spacing w:after="0"/>
              <w:rPr>
                <w:sz w:val="18"/>
                <w:szCs w:val="18"/>
                <w:color w:val="auto"/>
              </w:rPr>
            </w:pPr>
          </w:p>
        </w:tc>
      </w:tr>
      <w:tr>
        <w:trPr>
          <w:trHeight w:val="209"/>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Extended the term and delayed the payment 42 months</w:t>
            </w:r>
          </w:p>
        </w:tc>
      </w:tr>
      <w:tr>
        <w:trPr>
          <w:trHeight w:val="212"/>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real estate - owner occupied</w:t>
            </w:r>
          </w:p>
        </w:tc>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Extended the term and delayed the payment 9 months</w:t>
            </w:r>
          </w:p>
        </w:tc>
      </w:tr>
      <w:tr>
        <w:trPr>
          <w:trHeight w:val="210"/>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Combination - Interest Rate Reduction and Term Extension</w:t>
            </w:r>
          </w:p>
        </w:tc>
        <w:tc>
          <w:tcPr>
            <w:tcW w:w="5760" w:type="dxa"/>
            <w:vAlign w:val="bottom"/>
          </w:tcPr>
          <w:p>
            <w:pPr>
              <w:spacing w:after="0"/>
              <w:rPr>
                <w:sz w:val="18"/>
                <w:szCs w:val="18"/>
                <w:color w:val="auto"/>
              </w:rPr>
            </w:pPr>
          </w:p>
        </w:tc>
      </w:tr>
      <w:tr>
        <w:trPr>
          <w:trHeight w:val="211"/>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real estate - owner occupied</w:t>
            </w:r>
          </w:p>
        </w:tc>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Reduced the interest rate 275 basis points and extended the term 21 months</w:t>
            </w:r>
          </w:p>
        </w:tc>
      </w:tr>
      <w:tr>
        <w:trPr>
          <w:trHeight w:val="210"/>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Combination - Interest Rate Reduction and Payment Delay</w:t>
            </w:r>
          </w:p>
        </w:tc>
        <w:tc>
          <w:tcPr>
            <w:tcW w:w="5760" w:type="dxa"/>
            <w:vAlign w:val="bottom"/>
          </w:tcPr>
          <w:p>
            <w:pPr>
              <w:spacing w:after="0"/>
              <w:rPr>
                <w:sz w:val="18"/>
                <w:szCs w:val="18"/>
                <w:color w:val="auto"/>
              </w:rPr>
            </w:pPr>
          </w:p>
        </w:tc>
      </w:tr>
      <w:tr>
        <w:trPr>
          <w:trHeight w:val="211"/>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 estate - 1-4 family mortgage - First lien</w:t>
            </w:r>
          </w:p>
        </w:tc>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Reduced the interest rate 25 basis points and delayed the payment 51 months</w:t>
            </w:r>
          </w:p>
        </w:tc>
      </w:tr>
      <w:tr>
        <w:trPr>
          <w:trHeight w:val="158"/>
        </w:trPr>
        <w:tc>
          <w:tcPr>
            <w:tcW w:w="548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Combination - Interest Rate Reduction, Term Extension and</w:t>
            </w:r>
          </w:p>
        </w:tc>
        <w:tc>
          <w:tcPr>
            <w:tcW w:w="5760" w:type="dxa"/>
            <w:vAlign w:val="bottom"/>
          </w:tcPr>
          <w:p>
            <w:pPr>
              <w:spacing w:after="0"/>
              <w:rPr>
                <w:sz w:val="13"/>
                <w:szCs w:val="13"/>
                <w:color w:val="auto"/>
              </w:rPr>
            </w:pPr>
          </w:p>
        </w:tc>
      </w:tr>
      <w:tr>
        <w:trPr>
          <w:trHeight w:val="210"/>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Payment Delay</w:t>
            </w:r>
          </w:p>
        </w:tc>
        <w:tc>
          <w:tcPr>
            <w:tcW w:w="5760" w:type="dxa"/>
            <w:vAlign w:val="bottom"/>
          </w:tcPr>
          <w:p>
            <w:pPr>
              <w:spacing w:after="0"/>
              <w:rPr>
                <w:sz w:val="18"/>
                <w:szCs w:val="18"/>
                <w:color w:val="auto"/>
              </w:rPr>
            </w:pPr>
          </w:p>
        </w:tc>
      </w:tr>
      <w:tr>
        <w:trPr>
          <w:trHeight w:val="159"/>
        </w:trPr>
        <w:tc>
          <w:tcPr>
            <w:tcW w:w="548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Commercial and industrial</w:t>
            </w:r>
          </w:p>
        </w:tc>
        <w:tc>
          <w:tcPr>
            <w:tcW w:w="57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w w:val="99"/>
              </w:rPr>
              <w:t>Reduced the interest rate 181 basis points and extended the term and delayed the payment</w:t>
            </w:r>
          </w:p>
        </w:tc>
      </w:tr>
      <w:tr>
        <w:trPr>
          <w:trHeight w:val="211"/>
        </w:trPr>
        <w:tc>
          <w:tcPr>
            <w:tcW w:w="5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59 months</w:t>
            </w:r>
          </w:p>
        </w:tc>
      </w:tr>
      <w:tr>
        <w:trPr>
          <w:trHeight w:val="158"/>
        </w:trPr>
        <w:tc>
          <w:tcPr>
            <w:tcW w:w="548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Consumer</w:t>
            </w:r>
          </w:p>
        </w:tc>
        <w:tc>
          <w:tcPr>
            <w:tcW w:w="576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9"/>
              </w:rPr>
              <w:t>Reduced the interest rate 460 basis points and extended the term and delayed the payment</w:t>
            </w:r>
          </w:p>
        </w:tc>
      </w:tr>
      <w:tr>
        <w:trPr>
          <w:trHeight w:val="207"/>
        </w:trPr>
        <w:tc>
          <w:tcPr>
            <w:tcW w:w="5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54 months</w:t>
            </w:r>
          </w:p>
        </w:tc>
      </w:tr>
    </w:tbl>
    <w:p>
      <w:pPr>
        <w:spacing w:after="0" w:line="2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Unused commitments relating to modified loans totaled $578 and $1,135 at December 31, 2025 and 2024, respectively. There were no loan modifications in 2025 for which the accrual or past due status deteriorated since the quarter of modification. Loan modifications that were modified in 2024 and for which the accrual or past due status had deteriorated since the quarter of modification totaled $34 at December 31, 2024. The past due status of these loans moved from current to 30-89 days past due.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Quality</w:t>
      </w:r>
    </w:p>
    <w:p>
      <w:pPr>
        <w:spacing w:after="0" w:line="16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6"/>
          <w:szCs w:val="16"/>
          <w:color w:val="auto"/>
        </w:rPr>
        <w:t>For commercial and commercial real estate-secured loans, internal risk-rating grades are assigned jointly by lending and credit administration, with validation by loan review personnel. The risk rating is based on an analysis of the financial and collateral strength of the borrower, guarantor strength, as well as other credit attributes underlying each loan based on asset type and industry. Management analyzes the resulting ratings, as well as other external statistics and factors such as delinquency, to track the migration performance of the portfolio balances of commercial and commercial real estate secured loans. Loan grades range between 10 and 95, with 10 being loans with the least credit risk. Loans within the “Pass” grade (those with a risk rating between 10 and 69) generally have a lower risk of loss and therefore a lower risk factor applied to the loan balances. The “Special Mention” grade (those with a risk rating between 70 and</w:t>
      </w:r>
    </w:p>
    <w:p>
      <w:pPr>
        <w:spacing w:after="0" w:line="2" w:lineRule="exact"/>
        <w:rPr>
          <w:sz w:val="20"/>
          <w:szCs w:val="20"/>
          <w:color w:val="auto"/>
        </w:rPr>
      </w:pPr>
    </w:p>
    <w:p>
      <w:pPr>
        <w:ind w:firstLine="5"/>
        <w:spacing w:after="0" w:line="248" w:lineRule="auto"/>
        <w:tabs>
          <w:tab w:leader="none" w:pos="28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loan where a significant adverse risk-modifying action is anticipated in the near term that, left uncorrected, could result in deterioration of the credit quality of the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Loans (continued)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loan. Loans that migrate into the “Classified” grade generally have a higher risk of loss and therefore a higher risk factor applied to those related loan balances.</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Company’s loan portfolio by year of origination or renewal and internal risk-rating grades as of the dates presented: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60" w:type="dxa"/>
            <w:vAlign w:val="bottom"/>
            <w:gridSpan w:val="7"/>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Term Loans Amortized Cost Basis by Origination Year</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center"/>
              <w:ind w:right="30"/>
              <w:spacing w:after="0" w:line="127" w:lineRule="exact"/>
              <w:rPr>
                <w:sz w:val="20"/>
                <w:szCs w:val="20"/>
                <w:color w:val="auto"/>
              </w:rPr>
            </w:pPr>
            <w:r>
              <w:rPr>
                <w:rFonts w:ascii="Times New Roman" w:cs="Times New Roman" w:eastAsia="Times New Roman" w:hAnsi="Times New Roman"/>
                <w:sz w:val="14"/>
                <w:szCs w:val="14"/>
                <w:b w:val="1"/>
                <w:bCs w:val="1"/>
                <w:color w:val="auto"/>
              </w:rPr>
              <w:t>Revolving</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140" w:type="dxa"/>
            <w:vAlign w:val="bottom"/>
          </w:tcPr>
          <w:p>
            <w:pPr>
              <w:spacing w:after="0"/>
              <w:rPr>
                <w:sz w:val="12"/>
                <w:szCs w:val="12"/>
                <w:color w:val="auto"/>
              </w:rPr>
            </w:pPr>
          </w:p>
        </w:tc>
        <w:tc>
          <w:tcPr>
            <w:tcW w:w="780" w:type="dxa"/>
            <w:vAlign w:val="bottom"/>
          </w:tcPr>
          <w:p>
            <w:pPr>
              <w:jc w:val="center"/>
              <w:ind w:right="30"/>
              <w:spacing w:after="0" w:line="145" w:lineRule="exact"/>
              <w:rPr>
                <w:sz w:val="20"/>
                <w:szCs w:val="20"/>
                <w:color w:val="auto"/>
              </w:rPr>
            </w:pPr>
            <w:r>
              <w:rPr>
                <w:rFonts w:ascii="Times New Roman" w:cs="Times New Roman" w:eastAsia="Times New Roman" w:hAnsi="Times New Roman"/>
                <w:sz w:val="14"/>
                <w:szCs w:val="14"/>
                <w:b w:val="1"/>
                <w:bCs w:val="1"/>
                <w:color w:val="auto"/>
                <w:w w:val="98"/>
              </w:rPr>
              <w:t>Loans</w:t>
            </w:r>
          </w:p>
        </w:tc>
        <w:tc>
          <w:tcPr>
            <w:tcW w:w="220" w:type="dxa"/>
            <w:vAlign w:val="bottom"/>
          </w:tcPr>
          <w:p>
            <w:pPr>
              <w:spacing w:after="0"/>
              <w:rPr>
                <w:sz w:val="12"/>
                <w:szCs w:val="12"/>
                <w:color w:val="auto"/>
              </w:rPr>
            </w:pPr>
          </w:p>
        </w:tc>
        <w:tc>
          <w:tcPr>
            <w:tcW w:w="780" w:type="dxa"/>
            <w:vAlign w:val="bottom"/>
            <w:vMerge w:val="restart"/>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3"/>
        </w:trPr>
        <w:tc>
          <w:tcPr>
            <w:tcW w:w="2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restart"/>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76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70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720" w:type="dxa"/>
            <w:vAlign w:val="bottom"/>
            <w:vMerge w:val="restart"/>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70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2"/>
                <w:szCs w:val="12"/>
                <w:color w:val="auto"/>
              </w:rPr>
            </w:pPr>
          </w:p>
        </w:tc>
        <w:tc>
          <w:tcPr>
            <w:tcW w:w="720" w:type="dxa"/>
            <w:vAlign w:val="bottom"/>
            <w:vMerge w:val="restart"/>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920" w:type="dxa"/>
            <w:vAlign w:val="bottom"/>
            <w:gridSpan w:val="2"/>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Converted to</w:t>
            </w: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7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0" w:type="dxa"/>
            <w:vAlign w:val="bottom"/>
          </w:tcPr>
          <w:p>
            <w:pPr>
              <w:spacing w:after="0"/>
              <w:rPr>
                <w:sz w:val="1"/>
                <w:szCs w:val="1"/>
                <w:color w:val="auto"/>
              </w:rPr>
            </w:pPr>
          </w:p>
        </w:tc>
      </w:tr>
      <w:tr>
        <w:trPr>
          <w:trHeight w:val="183"/>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and industrial</w:t>
            </w: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664,836</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267,767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189,777</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250,976</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129,199</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102,743</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1,188,474</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24,554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2,818,326</w:t>
            </w:r>
          </w:p>
        </w:tc>
        <w:tc>
          <w:tcPr>
            <w:tcW w:w="0" w:type="dxa"/>
            <w:vAlign w:val="bottom"/>
          </w:tcPr>
          <w:p>
            <w:pPr>
              <w:spacing w:after="0"/>
              <w:rPr>
                <w:sz w:val="1"/>
                <w:szCs w:val="1"/>
                <w:color w:val="auto"/>
              </w:rPr>
            </w:pPr>
          </w:p>
        </w:tc>
      </w:tr>
      <w:tr>
        <w:trPr>
          <w:trHeight w:val="204"/>
        </w:trPr>
        <w:tc>
          <w:tcPr>
            <w:tcW w:w="2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648,151</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262,528</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185,033</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244,440</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127,075</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99,108</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1,122,605</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21,189</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2,710,129</w:t>
            </w:r>
          </w:p>
        </w:tc>
        <w:tc>
          <w:tcPr>
            <w:tcW w:w="0" w:type="dxa"/>
            <w:vAlign w:val="bottom"/>
          </w:tcPr>
          <w:p>
            <w:pPr>
              <w:spacing w:after="0"/>
              <w:rPr>
                <w:sz w:val="1"/>
                <w:szCs w:val="1"/>
                <w:color w:val="auto"/>
              </w:rPr>
            </w:pPr>
          </w:p>
        </w:tc>
      </w:tr>
      <w:tr>
        <w:trPr>
          <w:trHeight w:val="190"/>
        </w:trPr>
        <w:tc>
          <w:tcPr>
            <w:tcW w:w="2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15,095</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2,348</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1,869</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28,499</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49,645</w:t>
            </w:r>
          </w:p>
        </w:tc>
        <w:tc>
          <w:tcPr>
            <w:tcW w:w="0" w:type="dxa"/>
            <w:vAlign w:val="bottom"/>
          </w:tcPr>
          <w:p>
            <w:pPr>
              <w:spacing w:after="0"/>
              <w:rPr>
                <w:sz w:val="1"/>
                <w:szCs w:val="1"/>
                <w:color w:val="auto"/>
              </w:rPr>
            </w:pPr>
          </w:p>
        </w:tc>
      </w:tr>
      <w:tr>
        <w:trPr>
          <w:trHeight w:val="205"/>
        </w:trPr>
        <w:tc>
          <w:tcPr>
            <w:tcW w:w="2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Classified</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1,590</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2,891</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3,942</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5,928</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1,766</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37,370</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3,365</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58,552</w:t>
            </w:r>
          </w:p>
        </w:tc>
        <w:tc>
          <w:tcPr>
            <w:tcW w:w="0" w:type="dxa"/>
            <w:vAlign w:val="bottom"/>
          </w:tcPr>
          <w:p>
            <w:pPr>
              <w:spacing w:after="0"/>
              <w:rPr>
                <w:sz w:val="1"/>
                <w:szCs w:val="1"/>
                <w:color w:val="auto"/>
              </w:rPr>
            </w:pPr>
          </w:p>
        </w:tc>
      </w:tr>
      <w:tr>
        <w:trPr>
          <w:trHeight w:val="145"/>
        </w:trPr>
        <w:tc>
          <w:tcPr>
            <w:tcW w:w="2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1,519</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3,681</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4,268</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5,223</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3,676</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1,155</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19,527</w:t>
            </w:r>
          </w:p>
        </w:tc>
        <w:tc>
          <w:tcPr>
            <w:tcW w:w="0" w:type="dxa"/>
            <w:vAlign w:val="bottom"/>
          </w:tcPr>
          <w:p>
            <w:pPr>
              <w:spacing w:after="0"/>
              <w:rPr>
                <w:sz w:val="1"/>
                <w:szCs w:val="1"/>
                <w:color w:val="auto"/>
              </w:rPr>
            </w:pPr>
          </w:p>
        </w:tc>
      </w:tr>
      <w:tr>
        <w:trPr>
          <w:trHeight w:val="145"/>
        </w:trPr>
        <w:tc>
          <w:tcPr>
            <w:tcW w:w="2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Construction and land development</w:t>
            </w: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891,047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450,335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235,317</w:t>
            </w: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92,070</w:t>
            </w: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22,381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9,220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61,638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1,505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1,763,513</w:t>
            </w:r>
          </w:p>
        </w:tc>
        <w:tc>
          <w:tcPr>
            <w:tcW w:w="0" w:type="dxa"/>
            <w:vAlign w:val="bottom"/>
          </w:tcPr>
          <w:p>
            <w:pPr>
              <w:spacing w:after="0"/>
              <w:rPr>
                <w:sz w:val="1"/>
                <w:szCs w:val="1"/>
                <w:color w:val="auto"/>
              </w:rPr>
            </w:pPr>
          </w:p>
        </w:tc>
      </w:tr>
      <w:tr>
        <w:trPr>
          <w:trHeight w:val="190"/>
        </w:trPr>
        <w:tc>
          <w:tcPr>
            <w:tcW w:w="2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Residential</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235,859</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34,917</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8,288</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279,064</w:t>
            </w:r>
          </w:p>
        </w:tc>
        <w:tc>
          <w:tcPr>
            <w:tcW w:w="0" w:type="dxa"/>
            <w:vAlign w:val="bottom"/>
          </w:tcPr>
          <w:p>
            <w:pPr>
              <w:spacing w:after="0"/>
              <w:rPr>
                <w:sz w:val="1"/>
                <w:szCs w:val="1"/>
                <w:color w:val="auto"/>
              </w:rPr>
            </w:pPr>
          </w:p>
        </w:tc>
      </w:tr>
      <w:tr>
        <w:trPr>
          <w:trHeight w:val="205"/>
        </w:trPr>
        <w:tc>
          <w:tcPr>
            <w:tcW w:w="2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233,826</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34,917</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8,288</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277,031</w:t>
            </w:r>
          </w:p>
        </w:tc>
        <w:tc>
          <w:tcPr>
            <w:tcW w:w="0" w:type="dxa"/>
            <w:vAlign w:val="bottom"/>
          </w:tcPr>
          <w:p>
            <w:pPr>
              <w:spacing w:after="0"/>
              <w:rPr>
                <w:sz w:val="1"/>
                <w:szCs w:val="1"/>
                <w:color w:val="auto"/>
              </w:rPr>
            </w:pPr>
          </w:p>
        </w:tc>
      </w:tr>
      <w:tr>
        <w:trPr>
          <w:trHeight w:val="190"/>
        </w:trPr>
        <w:tc>
          <w:tcPr>
            <w:tcW w:w="27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2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Classified</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2,033</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r>
        <w:trPr>
          <w:trHeight w:val="105"/>
        </w:trPr>
        <w:tc>
          <w:tcPr>
            <w:tcW w:w="2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0" w:type="dxa"/>
            <w:vAlign w:val="bottom"/>
          </w:tcPr>
          <w:p>
            <w:pPr>
              <w:spacing w:after="0"/>
              <w:rPr>
                <w:sz w:val="1"/>
                <w:szCs w:val="1"/>
                <w:color w:val="auto"/>
              </w:rPr>
            </w:pPr>
          </w:p>
        </w:tc>
      </w:tr>
      <w:tr>
        <w:trPr>
          <w:trHeight w:val="105"/>
        </w:trPr>
        <w:tc>
          <w:tcPr>
            <w:tcW w:w="2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2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655,188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415,418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235,317</w:t>
            </w: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92,070</w:t>
            </w: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22,381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53,350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1,484,449</w:t>
            </w:r>
          </w:p>
        </w:tc>
        <w:tc>
          <w:tcPr>
            <w:tcW w:w="0" w:type="dxa"/>
            <w:vAlign w:val="bottom"/>
          </w:tcPr>
          <w:p>
            <w:pPr>
              <w:spacing w:after="0"/>
              <w:rPr>
                <w:sz w:val="1"/>
                <w:szCs w:val="1"/>
                <w:color w:val="auto"/>
              </w:rPr>
            </w:pPr>
          </w:p>
        </w:tc>
      </w:tr>
      <w:tr>
        <w:trPr>
          <w:trHeight w:val="190"/>
        </w:trPr>
        <w:tc>
          <w:tcPr>
            <w:tcW w:w="27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644,909</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410,878</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226,065</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88,922</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22,381</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9,094</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53,106</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1,505</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1,456,860</w:t>
            </w:r>
          </w:p>
        </w:tc>
        <w:tc>
          <w:tcPr>
            <w:tcW w:w="0" w:type="dxa"/>
            <w:vAlign w:val="bottom"/>
          </w:tcPr>
          <w:p>
            <w:pPr>
              <w:spacing w:after="0"/>
              <w:rPr>
                <w:sz w:val="1"/>
                <w:szCs w:val="1"/>
                <w:color w:val="auto"/>
              </w:rPr>
            </w:pPr>
          </w:p>
        </w:tc>
      </w:tr>
      <w:tr>
        <w:trPr>
          <w:trHeight w:val="205"/>
        </w:trPr>
        <w:tc>
          <w:tcPr>
            <w:tcW w:w="2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3,948</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5,483</w:t>
            </w:r>
          </w:p>
        </w:tc>
        <w:tc>
          <w:tcPr>
            <w:tcW w:w="0" w:type="dxa"/>
            <w:vAlign w:val="bottom"/>
          </w:tcPr>
          <w:p>
            <w:pPr>
              <w:spacing w:after="0"/>
              <w:rPr>
                <w:sz w:val="1"/>
                <w:szCs w:val="1"/>
                <w:color w:val="auto"/>
              </w:rPr>
            </w:pPr>
          </w:p>
        </w:tc>
      </w:tr>
      <w:tr>
        <w:trPr>
          <w:trHeight w:val="190"/>
        </w:trPr>
        <w:tc>
          <w:tcPr>
            <w:tcW w:w="27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Classified</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9,822</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8,525</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3,148</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22,106</w:t>
            </w:r>
          </w:p>
        </w:tc>
        <w:tc>
          <w:tcPr>
            <w:tcW w:w="0" w:type="dxa"/>
            <w:vAlign w:val="bottom"/>
          </w:tcPr>
          <w:p>
            <w:pPr>
              <w:spacing w:after="0"/>
              <w:rPr>
                <w:sz w:val="1"/>
                <w:szCs w:val="1"/>
                <w:color w:val="auto"/>
              </w:rPr>
            </w:pPr>
          </w:p>
        </w:tc>
      </w:tr>
      <w:tr>
        <w:trPr>
          <w:trHeight w:val="152"/>
        </w:trPr>
        <w:tc>
          <w:tcPr>
            <w:tcW w:w="2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52"/>
        </w:trPr>
        <w:tc>
          <w:tcPr>
            <w:tcW w:w="2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7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Real Estate - 1-4 Family Mortgage</w:t>
            </w: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269,213</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150,538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137,194</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191,230</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116,779</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71,816</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107,516</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462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1,044,748</w:t>
            </w:r>
          </w:p>
        </w:tc>
        <w:tc>
          <w:tcPr>
            <w:tcW w:w="0" w:type="dxa"/>
            <w:vAlign w:val="bottom"/>
          </w:tcPr>
          <w:p>
            <w:pPr>
              <w:spacing w:after="0"/>
              <w:rPr>
                <w:sz w:val="1"/>
                <w:szCs w:val="1"/>
                <w:color w:val="auto"/>
              </w:rPr>
            </w:pPr>
          </w:p>
        </w:tc>
      </w:tr>
      <w:tr>
        <w:trPr>
          <w:trHeight w:val="204"/>
        </w:trPr>
        <w:tc>
          <w:tcPr>
            <w:tcW w:w="2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First lien</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251,292</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142,403</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129,819</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186,606</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114,068</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69,209</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3,230</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896,627</w:t>
            </w:r>
          </w:p>
        </w:tc>
        <w:tc>
          <w:tcPr>
            <w:tcW w:w="0" w:type="dxa"/>
            <w:vAlign w:val="bottom"/>
          </w:tcPr>
          <w:p>
            <w:pPr>
              <w:spacing w:after="0"/>
              <w:rPr>
                <w:sz w:val="1"/>
                <w:szCs w:val="1"/>
                <w:color w:val="auto"/>
              </w:rPr>
            </w:pPr>
          </w:p>
        </w:tc>
      </w:tr>
      <w:tr>
        <w:trPr>
          <w:trHeight w:val="190"/>
        </w:trPr>
        <w:tc>
          <w:tcPr>
            <w:tcW w:w="27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249,929</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139,985</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128,534</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183,517</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112,078</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66,988</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3,230</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884,261</w:t>
            </w:r>
          </w:p>
        </w:tc>
        <w:tc>
          <w:tcPr>
            <w:tcW w:w="0" w:type="dxa"/>
            <w:vAlign w:val="bottom"/>
          </w:tcPr>
          <w:p>
            <w:pPr>
              <w:spacing w:after="0"/>
              <w:rPr>
                <w:sz w:val="1"/>
                <w:szCs w:val="1"/>
                <w:color w:val="auto"/>
              </w:rPr>
            </w:pPr>
          </w:p>
        </w:tc>
      </w:tr>
      <w:tr>
        <w:trPr>
          <w:trHeight w:val="205"/>
        </w:trPr>
        <w:tc>
          <w:tcPr>
            <w:tcW w:w="2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1,836</w:t>
            </w:r>
          </w:p>
        </w:tc>
        <w:tc>
          <w:tcPr>
            <w:tcW w:w="0" w:type="dxa"/>
            <w:vAlign w:val="bottom"/>
          </w:tcPr>
          <w:p>
            <w:pPr>
              <w:spacing w:after="0"/>
              <w:rPr>
                <w:sz w:val="1"/>
                <w:szCs w:val="1"/>
                <w:color w:val="auto"/>
              </w:rPr>
            </w:pPr>
          </w:p>
        </w:tc>
      </w:tr>
      <w:tr>
        <w:trPr>
          <w:trHeight w:val="190"/>
        </w:trPr>
        <w:tc>
          <w:tcPr>
            <w:tcW w:w="27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Classified</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2,192</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2,873</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1,460</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2,145</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10,530</w:t>
            </w:r>
          </w:p>
        </w:tc>
        <w:tc>
          <w:tcPr>
            <w:tcW w:w="0" w:type="dxa"/>
            <w:vAlign w:val="bottom"/>
          </w:tcPr>
          <w:p>
            <w:pPr>
              <w:spacing w:after="0"/>
              <w:rPr>
                <w:sz w:val="1"/>
                <w:szCs w:val="1"/>
                <w:color w:val="auto"/>
              </w:rPr>
            </w:pPr>
          </w:p>
        </w:tc>
      </w:tr>
      <w:tr>
        <w:trPr>
          <w:trHeight w:val="152"/>
        </w:trPr>
        <w:tc>
          <w:tcPr>
            <w:tcW w:w="2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0" w:type="dxa"/>
            <w:vAlign w:val="bottom"/>
          </w:tcPr>
          <w:p>
            <w:pPr>
              <w:spacing w:after="0"/>
              <w:rPr>
                <w:sz w:val="1"/>
                <w:szCs w:val="1"/>
                <w:color w:val="auto"/>
              </w:rPr>
            </w:pPr>
          </w:p>
        </w:tc>
      </w:tr>
      <w:tr>
        <w:trPr>
          <w:trHeight w:val="152"/>
        </w:trPr>
        <w:tc>
          <w:tcPr>
            <w:tcW w:w="2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Junior lien</w:t>
            </w: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15,567</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6,502</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3,854</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2,348</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37,972</w:t>
            </w:r>
          </w:p>
        </w:tc>
        <w:tc>
          <w:tcPr>
            <w:tcW w:w="0" w:type="dxa"/>
            <w:vAlign w:val="bottom"/>
          </w:tcPr>
          <w:p>
            <w:pPr>
              <w:spacing w:after="0"/>
              <w:rPr>
                <w:sz w:val="1"/>
                <w:szCs w:val="1"/>
                <w:color w:val="auto"/>
              </w:rPr>
            </w:pPr>
          </w:p>
        </w:tc>
      </w:tr>
      <w:tr>
        <w:trPr>
          <w:trHeight w:val="205"/>
        </w:trPr>
        <w:tc>
          <w:tcPr>
            <w:tcW w:w="2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14,819</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6,978</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5,915</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3,734</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1,909</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1,740</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35,500</w:t>
            </w:r>
          </w:p>
        </w:tc>
        <w:tc>
          <w:tcPr>
            <w:tcW w:w="0" w:type="dxa"/>
            <w:vAlign w:val="bottom"/>
          </w:tcPr>
          <w:p>
            <w:pPr>
              <w:spacing w:after="0"/>
              <w:rPr>
                <w:sz w:val="1"/>
                <w:szCs w:val="1"/>
                <w:color w:val="auto"/>
              </w:rPr>
            </w:pPr>
          </w:p>
        </w:tc>
      </w:tr>
      <w:tr>
        <w:trPr>
          <w:trHeight w:val="190"/>
        </w:trPr>
        <w:tc>
          <w:tcPr>
            <w:tcW w:w="2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0" w:type="dxa"/>
            <w:vAlign w:val="bottom"/>
          </w:tcPr>
          <w:p>
            <w:pPr>
              <w:spacing w:after="0"/>
              <w:rPr>
                <w:sz w:val="1"/>
                <w:szCs w:val="1"/>
                <w:color w:val="auto"/>
              </w:rPr>
            </w:pPr>
          </w:p>
        </w:tc>
      </w:tr>
      <w:tr>
        <w:trPr>
          <w:trHeight w:val="205"/>
        </w:trPr>
        <w:tc>
          <w:tcPr>
            <w:tcW w:w="2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Classified</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1,826</w:t>
            </w:r>
          </w:p>
        </w:tc>
        <w:tc>
          <w:tcPr>
            <w:tcW w:w="0" w:type="dxa"/>
            <w:vAlign w:val="bottom"/>
          </w:tcPr>
          <w:p>
            <w:pPr>
              <w:spacing w:after="0"/>
              <w:rPr>
                <w:sz w:val="1"/>
                <w:szCs w:val="1"/>
                <w:color w:val="auto"/>
              </w:rPr>
            </w:pPr>
          </w:p>
        </w:tc>
      </w:tr>
      <w:tr>
        <w:trPr>
          <w:trHeight w:val="145"/>
        </w:trPr>
        <w:tc>
          <w:tcPr>
            <w:tcW w:w="2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0" w:type="dxa"/>
            <w:vAlign w:val="bottom"/>
          </w:tcPr>
          <w:p>
            <w:pPr>
              <w:spacing w:after="0"/>
              <w:rPr>
                <w:sz w:val="1"/>
                <w:szCs w:val="1"/>
                <w:color w:val="auto"/>
              </w:rPr>
            </w:pPr>
          </w:p>
        </w:tc>
      </w:tr>
      <w:tr>
        <w:trPr>
          <w:trHeight w:val="145"/>
        </w:trPr>
        <w:tc>
          <w:tcPr>
            <w:tcW w:w="2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Home equity</w:t>
            </w: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w:t>
            </w: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103,881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110,149</w:t>
            </w:r>
          </w:p>
        </w:tc>
        <w:tc>
          <w:tcPr>
            <w:tcW w:w="0" w:type="dxa"/>
            <w:vAlign w:val="bottom"/>
          </w:tcPr>
          <w:p>
            <w:pPr>
              <w:spacing w:after="0"/>
              <w:rPr>
                <w:sz w:val="1"/>
                <w:szCs w:val="1"/>
                <w:color w:val="auto"/>
              </w:rPr>
            </w:pPr>
          </w:p>
        </w:tc>
      </w:tr>
      <w:tr>
        <w:trPr>
          <w:trHeight w:val="190"/>
        </w:trPr>
        <w:tc>
          <w:tcPr>
            <w:tcW w:w="2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2,354</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103,497</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109,211</w:t>
            </w:r>
          </w:p>
        </w:tc>
        <w:tc>
          <w:tcPr>
            <w:tcW w:w="0" w:type="dxa"/>
            <w:vAlign w:val="bottom"/>
          </w:tcPr>
          <w:p>
            <w:pPr>
              <w:spacing w:after="0"/>
              <w:rPr>
                <w:sz w:val="1"/>
                <w:szCs w:val="1"/>
                <w:color w:val="auto"/>
              </w:rPr>
            </w:pPr>
          </w:p>
        </w:tc>
      </w:tr>
      <w:tr>
        <w:trPr>
          <w:trHeight w:val="205"/>
        </w:trPr>
        <w:tc>
          <w:tcPr>
            <w:tcW w:w="2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2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Classified</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w:t>
            </w:r>
          </w:p>
        </w:tc>
        <w:tc>
          <w:tcPr>
            <w:tcW w:w="0" w:type="dxa"/>
            <w:vAlign w:val="bottom"/>
          </w:tcPr>
          <w:p>
            <w:pPr>
              <w:spacing w:after="0"/>
              <w:rPr>
                <w:sz w:val="1"/>
                <w:szCs w:val="1"/>
                <w:color w:val="auto"/>
              </w:rPr>
            </w:pPr>
          </w:p>
        </w:tc>
      </w:tr>
      <w:tr>
        <w:trPr>
          <w:trHeight w:val="152"/>
        </w:trPr>
        <w:tc>
          <w:tcPr>
            <w:tcW w:w="2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0" w:type="dxa"/>
            <w:vAlign w:val="bottom"/>
          </w:tcPr>
          <w:p>
            <w:pPr>
              <w:spacing w:after="0"/>
              <w:rPr>
                <w:sz w:val="1"/>
                <w:szCs w:val="1"/>
                <w:color w:val="auto"/>
              </w:rPr>
            </w:pPr>
          </w:p>
        </w:tc>
      </w:tr>
      <w:tr>
        <w:trPr>
          <w:trHeight w:val="152"/>
        </w:trPr>
        <w:tc>
          <w:tcPr>
            <w:tcW w:w="2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Loans (continued)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60" w:type="dxa"/>
            <w:vAlign w:val="bottom"/>
            <w:gridSpan w:val="7"/>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Term Loans Amortized Cost Basis by Origination Year</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jc w:val="center"/>
              <w:ind w:right="30"/>
              <w:spacing w:after="0" w:line="125" w:lineRule="exact"/>
              <w:rPr>
                <w:sz w:val="20"/>
                <w:szCs w:val="20"/>
                <w:color w:val="auto"/>
              </w:rPr>
            </w:pPr>
            <w:r>
              <w:rPr>
                <w:rFonts w:ascii="Times New Roman" w:cs="Times New Roman" w:eastAsia="Times New Roman" w:hAnsi="Times New Roman"/>
                <w:sz w:val="14"/>
                <w:szCs w:val="14"/>
                <w:b w:val="1"/>
                <w:bCs w:val="1"/>
                <w:color w:val="auto"/>
              </w:rPr>
              <w:t>Revolving</w:t>
            </w: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center"/>
              <w:ind w:right="30"/>
              <w:spacing w:after="0" w:line="133" w:lineRule="exact"/>
              <w:rPr>
                <w:sz w:val="20"/>
                <w:szCs w:val="20"/>
                <w:color w:val="auto"/>
              </w:rPr>
            </w:pPr>
            <w:r>
              <w:rPr>
                <w:rFonts w:ascii="Times New Roman" w:cs="Times New Roman" w:eastAsia="Times New Roman" w:hAnsi="Times New Roman"/>
                <w:sz w:val="14"/>
                <w:szCs w:val="14"/>
                <w:b w:val="1"/>
                <w:bCs w:val="1"/>
                <w:color w:val="auto"/>
                <w:w w:val="98"/>
              </w:rPr>
              <w:t>Loans</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restart"/>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3"/>
                <w:szCs w:val="13"/>
                <w:color w:val="auto"/>
              </w:rPr>
            </w:pPr>
          </w:p>
        </w:tc>
        <w:tc>
          <w:tcPr>
            <w:tcW w:w="76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3"/>
                <w:szCs w:val="13"/>
                <w:color w:val="auto"/>
              </w:rPr>
            </w:pPr>
          </w:p>
        </w:tc>
        <w:tc>
          <w:tcPr>
            <w:tcW w:w="72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3"/>
                <w:szCs w:val="13"/>
                <w:color w:val="auto"/>
              </w:rPr>
            </w:pPr>
          </w:p>
        </w:tc>
        <w:tc>
          <w:tcPr>
            <w:tcW w:w="720" w:type="dxa"/>
            <w:vAlign w:val="bottom"/>
            <w:vMerge w:val="restart"/>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3"/>
                <w:szCs w:val="13"/>
                <w:color w:val="auto"/>
              </w:rPr>
            </w:pPr>
          </w:p>
        </w:tc>
        <w:tc>
          <w:tcPr>
            <w:tcW w:w="70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3"/>
                <w:szCs w:val="13"/>
                <w:color w:val="auto"/>
              </w:rPr>
            </w:pPr>
          </w:p>
        </w:tc>
        <w:tc>
          <w:tcPr>
            <w:tcW w:w="720" w:type="dxa"/>
            <w:vAlign w:val="bottom"/>
            <w:vMerge w:val="restart"/>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40" w:type="dxa"/>
            <w:vAlign w:val="bottom"/>
          </w:tcPr>
          <w:p>
            <w:pPr>
              <w:spacing w:after="0"/>
              <w:rPr>
                <w:sz w:val="13"/>
                <w:szCs w:val="13"/>
                <w:color w:val="auto"/>
              </w:rPr>
            </w:pPr>
          </w:p>
        </w:tc>
        <w:tc>
          <w:tcPr>
            <w:tcW w:w="800" w:type="dxa"/>
            <w:vAlign w:val="bottom"/>
          </w:tcPr>
          <w:p>
            <w:pPr>
              <w:jc w:val="center"/>
              <w:ind w:right="50"/>
              <w:spacing w:after="0" w:line="156" w:lineRule="exact"/>
              <w:rPr>
                <w:sz w:val="20"/>
                <w:szCs w:val="20"/>
                <w:color w:val="auto"/>
              </w:rPr>
            </w:pPr>
            <w:r>
              <w:rPr>
                <w:rFonts w:ascii="Times New Roman" w:cs="Times New Roman" w:eastAsia="Times New Roman" w:hAnsi="Times New Roman"/>
                <w:sz w:val="14"/>
                <w:szCs w:val="14"/>
                <w:b w:val="1"/>
                <w:bCs w:val="1"/>
                <w:color w:val="auto"/>
              </w:rPr>
              <w:t>Revolving</w:t>
            </w:r>
          </w:p>
        </w:tc>
        <w:tc>
          <w:tcPr>
            <w:tcW w:w="920" w:type="dxa"/>
            <w:vAlign w:val="bottom"/>
            <w:gridSpan w:val="2"/>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w w:val="99"/>
              </w:rPr>
              <w:t>Converted to</w:t>
            </w:r>
          </w:p>
        </w:tc>
        <w:tc>
          <w:tcPr>
            <w:tcW w:w="220" w:type="dxa"/>
            <w:vAlign w:val="bottom"/>
          </w:tcPr>
          <w:p>
            <w:pPr>
              <w:spacing w:after="0"/>
              <w:rPr>
                <w:sz w:val="13"/>
                <w:szCs w:val="13"/>
                <w:color w:val="auto"/>
              </w:rPr>
            </w:pPr>
          </w:p>
        </w:tc>
        <w:tc>
          <w:tcPr>
            <w:tcW w:w="780" w:type="dxa"/>
            <w:vAlign w:val="bottom"/>
          </w:tcPr>
          <w:p>
            <w:pPr>
              <w:jc w:val="center"/>
              <w:ind w:right="130"/>
              <w:spacing w:after="0" w:line="156"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91"/>
        </w:trPr>
        <w:tc>
          <w:tcPr>
            <w:tcW w:w="2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8"/>
              </w:rPr>
              <w:t>Loans</w:t>
            </w:r>
          </w:p>
        </w:tc>
        <w:tc>
          <w:tcPr>
            <w:tcW w:w="0" w:type="dxa"/>
            <w:vAlign w:val="bottom"/>
          </w:tcPr>
          <w:p>
            <w:pPr>
              <w:spacing w:after="0"/>
              <w:rPr>
                <w:sz w:val="1"/>
                <w:szCs w:val="1"/>
                <w:color w:val="auto"/>
              </w:rPr>
            </w:pPr>
          </w:p>
        </w:tc>
      </w:tr>
      <w:tr>
        <w:trPr>
          <w:trHeight w:val="191"/>
        </w:trPr>
        <w:tc>
          <w:tcPr>
            <w:tcW w:w="27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Commercial real estate - owner occupied</w:t>
            </w: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501,919</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602,513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453,290</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541,607</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465,069</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558,280</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211,986</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3,334,664</w:t>
            </w:r>
          </w:p>
        </w:tc>
        <w:tc>
          <w:tcPr>
            <w:tcW w:w="0" w:type="dxa"/>
            <w:vAlign w:val="bottom"/>
          </w:tcPr>
          <w:p>
            <w:pPr>
              <w:spacing w:after="0"/>
              <w:rPr>
                <w:sz w:val="1"/>
                <w:szCs w:val="1"/>
                <w:color w:val="auto"/>
              </w:rPr>
            </w:pPr>
          </w:p>
        </w:tc>
      </w:tr>
      <w:tr>
        <w:trPr>
          <w:trHeight w:val="204"/>
        </w:trPr>
        <w:tc>
          <w:tcPr>
            <w:tcW w:w="2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497,708</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586,917</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438,247</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520,128</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447,885</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527,129</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210,685</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3,228,699</w:t>
            </w:r>
          </w:p>
        </w:tc>
        <w:tc>
          <w:tcPr>
            <w:tcW w:w="0" w:type="dxa"/>
            <w:vAlign w:val="bottom"/>
          </w:tcPr>
          <w:p>
            <w:pPr>
              <w:spacing w:after="0"/>
              <w:rPr>
                <w:sz w:val="1"/>
                <w:szCs w:val="1"/>
                <w:color w:val="auto"/>
              </w:rPr>
            </w:pPr>
          </w:p>
        </w:tc>
      </w:tr>
      <w:tr>
        <w:trPr>
          <w:trHeight w:val="190"/>
        </w:trPr>
        <w:tc>
          <w:tcPr>
            <w:tcW w:w="2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3,807</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6,263</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3,993</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15,360</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2,971</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13,295</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45,689</w:t>
            </w:r>
          </w:p>
        </w:tc>
        <w:tc>
          <w:tcPr>
            <w:tcW w:w="0" w:type="dxa"/>
            <w:vAlign w:val="bottom"/>
          </w:tcPr>
          <w:p>
            <w:pPr>
              <w:spacing w:after="0"/>
              <w:rPr>
                <w:sz w:val="1"/>
                <w:szCs w:val="1"/>
                <w:color w:val="auto"/>
              </w:rPr>
            </w:pPr>
          </w:p>
        </w:tc>
      </w:tr>
      <w:tr>
        <w:trPr>
          <w:trHeight w:val="205"/>
        </w:trPr>
        <w:tc>
          <w:tcPr>
            <w:tcW w:w="2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Classified</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9,333</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11,050</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6,119</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14,213</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17,856</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1,301</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60,276</w:t>
            </w:r>
          </w:p>
        </w:tc>
        <w:tc>
          <w:tcPr>
            <w:tcW w:w="0" w:type="dxa"/>
            <w:vAlign w:val="bottom"/>
          </w:tcPr>
          <w:p>
            <w:pPr>
              <w:spacing w:after="0"/>
              <w:rPr>
                <w:sz w:val="1"/>
                <w:szCs w:val="1"/>
                <w:color w:val="auto"/>
              </w:rPr>
            </w:pPr>
          </w:p>
        </w:tc>
      </w:tr>
      <w:tr>
        <w:trPr>
          <w:trHeight w:val="145"/>
        </w:trPr>
        <w:tc>
          <w:tcPr>
            <w:tcW w:w="2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1,339</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4,201</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5,717</w:t>
            </w:r>
          </w:p>
        </w:tc>
        <w:tc>
          <w:tcPr>
            <w:tcW w:w="0" w:type="dxa"/>
            <w:vAlign w:val="bottom"/>
          </w:tcPr>
          <w:p>
            <w:pPr>
              <w:spacing w:after="0"/>
              <w:rPr>
                <w:sz w:val="1"/>
                <w:szCs w:val="1"/>
                <w:color w:val="auto"/>
              </w:rPr>
            </w:pPr>
          </w:p>
        </w:tc>
      </w:tr>
      <w:tr>
        <w:trPr>
          <w:trHeight w:val="145"/>
        </w:trPr>
        <w:tc>
          <w:tcPr>
            <w:tcW w:w="2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760" w:type="dxa"/>
            <w:vAlign w:val="bottom"/>
            <w:shd w:val="clear" w:color="auto" w:fill="CCEEFF"/>
          </w:tcPr>
          <w:p>
            <w:pPr>
              <w:ind w:left="140"/>
              <w:spacing w:after="0" w:line="132" w:lineRule="exact"/>
              <w:rPr>
                <w:sz w:val="20"/>
                <w:szCs w:val="20"/>
                <w:color w:val="auto"/>
              </w:rPr>
            </w:pPr>
            <w:r>
              <w:rPr>
                <w:rFonts w:ascii="Times New Roman" w:cs="Times New Roman" w:eastAsia="Times New Roman" w:hAnsi="Times New Roman"/>
                <w:sz w:val="14"/>
                <w:szCs w:val="14"/>
                <w:b w:val="1"/>
                <w:bCs w:val="1"/>
                <w:color w:val="auto"/>
              </w:rPr>
              <w:t>Commercial real estate - non owner</w:t>
            </w:r>
          </w:p>
        </w:tc>
        <w:tc>
          <w:tcPr>
            <w:tcW w:w="22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1,696,446</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753,232</w:t>
            </w: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597,999</w:t>
            </w:r>
          </w:p>
        </w:tc>
        <w:tc>
          <w:tcPr>
            <w:tcW w:w="22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1,748,638</w:t>
            </w:r>
          </w:p>
        </w:tc>
        <w:tc>
          <w:tcPr>
            <w:tcW w:w="22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676,417</w:t>
            </w: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657,353</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113,358</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2,037</w:t>
            </w: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6,245,480</w:t>
            </w:r>
          </w:p>
        </w:tc>
        <w:tc>
          <w:tcPr>
            <w:tcW w:w="0" w:type="dxa"/>
            <w:vAlign w:val="bottom"/>
          </w:tcPr>
          <w:p>
            <w:pPr>
              <w:spacing w:after="0"/>
              <w:rPr>
                <w:sz w:val="1"/>
                <w:szCs w:val="1"/>
                <w:color w:val="auto"/>
              </w:rPr>
            </w:pPr>
          </w:p>
        </w:tc>
      </w:tr>
      <w:tr>
        <w:trPr>
          <w:trHeight w:val="197"/>
        </w:trPr>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occupied</w:t>
            </w:r>
          </w:p>
        </w:tc>
        <w:tc>
          <w:tcPr>
            <w:tcW w:w="22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Multi family</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394,699</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71,999</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123,963</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548,165</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135,587</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115,521</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2,845</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1,392,779</w:t>
            </w:r>
          </w:p>
        </w:tc>
        <w:tc>
          <w:tcPr>
            <w:tcW w:w="0" w:type="dxa"/>
            <w:vAlign w:val="bottom"/>
          </w:tcPr>
          <w:p>
            <w:pPr>
              <w:spacing w:after="0"/>
              <w:rPr>
                <w:sz w:val="1"/>
                <w:szCs w:val="1"/>
                <w:color w:val="auto"/>
              </w:rPr>
            </w:pPr>
          </w:p>
        </w:tc>
      </w:tr>
      <w:tr>
        <w:trPr>
          <w:trHeight w:val="205"/>
        </w:trPr>
        <w:tc>
          <w:tcPr>
            <w:tcW w:w="2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360,750</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69,068</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123,477</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548,165</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135,587</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114,726</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2,845</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1,354,618</w:t>
            </w:r>
          </w:p>
        </w:tc>
        <w:tc>
          <w:tcPr>
            <w:tcW w:w="0" w:type="dxa"/>
            <w:vAlign w:val="bottom"/>
          </w:tcPr>
          <w:p>
            <w:pPr>
              <w:spacing w:after="0"/>
              <w:rPr>
                <w:sz w:val="1"/>
                <w:szCs w:val="1"/>
                <w:color w:val="auto"/>
              </w:rPr>
            </w:pPr>
          </w:p>
        </w:tc>
      </w:tr>
      <w:tr>
        <w:trPr>
          <w:trHeight w:val="190"/>
        </w:trPr>
        <w:tc>
          <w:tcPr>
            <w:tcW w:w="27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33,062</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2,918</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35,980</w:t>
            </w:r>
          </w:p>
        </w:tc>
        <w:tc>
          <w:tcPr>
            <w:tcW w:w="0" w:type="dxa"/>
            <w:vAlign w:val="bottom"/>
          </w:tcPr>
          <w:p>
            <w:pPr>
              <w:spacing w:after="0"/>
              <w:rPr>
                <w:sz w:val="1"/>
                <w:szCs w:val="1"/>
                <w:color w:val="auto"/>
              </w:rPr>
            </w:pPr>
          </w:p>
        </w:tc>
      </w:tr>
      <w:tr>
        <w:trPr>
          <w:trHeight w:val="205"/>
        </w:trPr>
        <w:tc>
          <w:tcPr>
            <w:tcW w:w="2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Classified</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2,181</w:t>
            </w:r>
          </w:p>
        </w:tc>
        <w:tc>
          <w:tcPr>
            <w:tcW w:w="0" w:type="dxa"/>
            <w:vAlign w:val="bottom"/>
          </w:tcPr>
          <w:p>
            <w:pPr>
              <w:spacing w:after="0"/>
              <w:rPr>
                <w:sz w:val="1"/>
                <w:szCs w:val="1"/>
                <w:color w:val="auto"/>
              </w:rPr>
            </w:pPr>
          </w:p>
        </w:tc>
      </w:tr>
      <w:tr>
        <w:trPr>
          <w:trHeight w:val="145"/>
        </w:trPr>
        <w:tc>
          <w:tcPr>
            <w:tcW w:w="2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5"/>
        </w:trPr>
        <w:tc>
          <w:tcPr>
            <w:tcW w:w="2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1,301,747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681,233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474,036</w:t>
            </w: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1,200,473</w:t>
            </w: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540,830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541,832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110,513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4,852,701</w:t>
            </w:r>
          </w:p>
        </w:tc>
        <w:tc>
          <w:tcPr>
            <w:tcW w:w="0" w:type="dxa"/>
            <w:vAlign w:val="bottom"/>
          </w:tcPr>
          <w:p>
            <w:pPr>
              <w:spacing w:after="0"/>
              <w:rPr>
                <w:sz w:val="1"/>
                <w:szCs w:val="1"/>
                <w:color w:val="auto"/>
              </w:rPr>
            </w:pPr>
          </w:p>
        </w:tc>
      </w:tr>
      <w:tr>
        <w:trPr>
          <w:trHeight w:val="190"/>
        </w:trPr>
        <w:tc>
          <w:tcPr>
            <w:tcW w:w="2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1,286,217</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657,184</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470,862</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1,118,903</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525,177</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482,460</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108,900</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4,649,703</w:t>
            </w:r>
          </w:p>
        </w:tc>
        <w:tc>
          <w:tcPr>
            <w:tcW w:w="0" w:type="dxa"/>
            <w:vAlign w:val="bottom"/>
          </w:tcPr>
          <w:p>
            <w:pPr>
              <w:spacing w:after="0"/>
              <w:rPr>
                <w:sz w:val="1"/>
                <w:szCs w:val="1"/>
                <w:color w:val="auto"/>
              </w:rPr>
            </w:pPr>
          </w:p>
        </w:tc>
      </w:tr>
      <w:tr>
        <w:trPr>
          <w:trHeight w:val="205"/>
        </w:trPr>
        <w:tc>
          <w:tcPr>
            <w:tcW w:w="2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4,741</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2,249</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37,841</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9,328</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7,852</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62,149</w:t>
            </w:r>
          </w:p>
        </w:tc>
        <w:tc>
          <w:tcPr>
            <w:tcW w:w="0" w:type="dxa"/>
            <w:vAlign w:val="bottom"/>
          </w:tcPr>
          <w:p>
            <w:pPr>
              <w:spacing w:after="0"/>
              <w:rPr>
                <w:sz w:val="1"/>
                <w:szCs w:val="1"/>
                <w:color w:val="auto"/>
              </w:rPr>
            </w:pPr>
          </w:p>
        </w:tc>
      </w:tr>
      <w:tr>
        <w:trPr>
          <w:trHeight w:val="190"/>
        </w:trPr>
        <w:tc>
          <w:tcPr>
            <w:tcW w:w="2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Classified</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15,530</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19,308</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43,729</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6,325</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51,520</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1,475</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2,037</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140,849</w:t>
            </w:r>
          </w:p>
        </w:tc>
        <w:tc>
          <w:tcPr>
            <w:tcW w:w="0" w:type="dxa"/>
            <w:vAlign w:val="bottom"/>
          </w:tcPr>
          <w:p>
            <w:pPr>
              <w:spacing w:after="0"/>
              <w:rPr>
                <w:sz w:val="1"/>
                <w:szCs w:val="1"/>
                <w:color w:val="auto"/>
              </w:rPr>
            </w:pPr>
          </w:p>
        </w:tc>
      </w:tr>
      <w:tr>
        <w:trPr>
          <w:trHeight w:val="152"/>
        </w:trPr>
        <w:tc>
          <w:tcPr>
            <w:tcW w:w="2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152"/>
        </w:trPr>
        <w:tc>
          <w:tcPr>
            <w:tcW w:w="2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spacing w:after="0"/>
              <w:rPr>
                <w:sz w:val="13"/>
                <w:szCs w:val="13"/>
                <w:color w:val="auto"/>
              </w:rPr>
            </w:pPr>
          </w:p>
        </w:tc>
        <w:tc>
          <w:tcPr>
            <w:tcW w:w="980" w:type="dxa"/>
            <w:vAlign w:val="bottom"/>
            <w:gridSpan w:val="2"/>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spacing w:after="0"/>
              <w:rPr>
                <w:sz w:val="13"/>
                <w:szCs w:val="13"/>
                <w:color w:val="auto"/>
              </w:rPr>
            </w:pPr>
          </w:p>
        </w:tc>
        <w:tc>
          <w:tcPr>
            <w:tcW w:w="920" w:type="dxa"/>
            <w:vAlign w:val="bottom"/>
            <w:gridSpan w:val="2"/>
            <w:shd w:val="clear" w:color="auto" w:fill="CCEEFF"/>
          </w:tcPr>
          <w:p>
            <w:pPr>
              <w:spacing w:after="0"/>
              <w:rPr>
                <w:sz w:val="13"/>
                <w:szCs w:val="13"/>
                <w:color w:val="auto"/>
              </w:rPr>
            </w:pPr>
          </w:p>
        </w:tc>
        <w:tc>
          <w:tcPr>
            <w:tcW w:w="860" w:type="dxa"/>
            <w:vAlign w:val="bottom"/>
            <w:gridSpan w:val="2"/>
            <w:shd w:val="clear" w:color="auto" w:fill="CCEEFF"/>
          </w:tcPr>
          <w:p>
            <w:pPr>
              <w:spacing w:after="0"/>
              <w:rPr>
                <w:sz w:val="13"/>
                <w:szCs w:val="13"/>
                <w:color w:val="auto"/>
              </w:rPr>
            </w:pPr>
          </w:p>
        </w:tc>
        <w:tc>
          <w:tcPr>
            <w:tcW w:w="940" w:type="dxa"/>
            <w:vAlign w:val="bottom"/>
            <w:gridSpan w:val="2"/>
            <w:shd w:val="clear" w:color="auto" w:fill="CCEEFF"/>
          </w:tcPr>
          <w:p>
            <w:pPr>
              <w:spacing w:after="0"/>
              <w:rPr>
                <w:sz w:val="13"/>
                <w:szCs w:val="13"/>
                <w:color w:val="auto"/>
              </w:rPr>
            </w:pPr>
          </w:p>
        </w:tc>
        <w:tc>
          <w:tcPr>
            <w:tcW w:w="1000" w:type="dxa"/>
            <w:vAlign w:val="bottom"/>
            <w:gridSpan w:val="2"/>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7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9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 $</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 $</w:t>
            </w:r>
          </w:p>
        </w:tc>
        <w:tc>
          <w:tcPr>
            <w:tcW w:w="92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0" w:type="dxa"/>
            <w:vAlign w:val="bottom"/>
          </w:tcPr>
          <w:p>
            <w:pPr>
              <w:spacing w:after="0"/>
              <w:rPr>
                <w:sz w:val="1"/>
                <w:szCs w:val="1"/>
                <w:color w:val="auto"/>
              </w:rPr>
            </w:pPr>
          </w:p>
        </w:tc>
      </w:tr>
      <w:tr>
        <w:trPr>
          <w:trHeight w:val="204"/>
        </w:trPr>
        <w:tc>
          <w:tcPr>
            <w:tcW w:w="2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0"/>
        </w:trPr>
        <w:tc>
          <w:tcPr>
            <w:tcW w:w="2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2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Classified</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5"/>
        </w:trPr>
        <w:tc>
          <w:tcPr>
            <w:tcW w:w="2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5"/>
        </w:trPr>
        <w:tc>
          <w:tcPr>
            <w:tcW w:w="2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loans subject to risk rating</w:t>
            </w: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4,023,461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2,224,385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1,613,579</w:t>
            </w: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2,824,521</w:t>
            </w: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1,409,845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1,399,412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1,682,972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28,558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15,206,733</w:t>
            </w:r>
          </w:p>
        </w:tc>
        <w:tc>
          <w:tcPr>
            <w:tcW w:w="0" w:type="dxa"/>
            <w:vAlign w:val="bottom"/>
          </w:tcPr>
          <w:p>
            <w:pPr>
              <w:spacing w:after="0"/>
              <w:rPr>
                <w:sz w:val="1"/>
                <w:szCs w:val="1"/>
                <w:color w:val="auto"/>
              </w:rPr>
            </w:pPr>
          </w:p>
        </w:tc>
      </w:tr>
      <w:tr>
        <w:trPr>
          <w:trHeight w:val="190"/>
        </w:trPr>
        <w:tc>
          <w:tcPr>
            <w:tcW w:w="2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3,938,663</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2,169,260</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1,579,008</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2,708,076</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1,372,837</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1,301,504</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1,613,561</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23,105</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14,706,014</w:t>
            </w:r>
          </w:p>
        </w:tc>
        <w:tc>
          <w:tcPr>
            <w:tcW w:w="0" w:type="dxa"/>
            <w:vAlign w:val="bottom"/>
          </w:tcPr>
          <w:p>
            <w:pPr>
              <w:spacing w:after="0"/>
              <w:rPr>
                <w:sz w:val="1"/>
                <w:szCs w:val="1"/>
                <w:color w:val="auto"/>
              </w:rPr>
            </w:pPr>
          </w:p>
        </w:tc>
      </w:tr>
      <w:tr>
        <w:trPr>
          <w:trHeight w:val="205"/>
        </w:trPr>
        <w:tc>
          <w:tcPr>
            <w:tcW w:w="2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53,198</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20,576</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8,296</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54,025</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13,253</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23,199</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28,881</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201,428</w:t>
            </w:r>
          </w:p>
        </w:tc>
        <w:tc>
          <w:tcPr>
            <w:tcW w:w="0" w:type="dxa"/>
            <w:vAlign w:val="bottom"/>
          </w:tcPr>
          <w:p>
            <w:pPr>
              <w:spacing w:after="0"/>
              <w:rPr>
                <w:sz w:val="1"/>
                <w:szCs w:val="1"/>
                <w:color w:val="auto"/>
              </w:rPr>
            </w:pPr>
          </w:p>
        </w:tc>
      </w:tr>
      <w:tr>
        <w:trPr>
          <w:trHeight w:val="190"/>
        </w:trPr>
        <w:tc>
          <w:tcPr>
            <w:tcW w:w="2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Classified</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31,600</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34,549</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26,275</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62,420</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23,755</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74,709</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40,530</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5,453</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299,291</w:t>
            </w:r>
          </w:p>
        </w:tc>
        <w:tc>
          <w:tcPr>
            <w:tcW w:w="0" w:type="dxa"/>
            <w:vAlign w:val="bottom"/>
          </w:tcPr>
          <w:p>
            <w:pPr>
              <w:spacing w:after="0"/>
              <w:rPr>
                <w:sz w:val="1"/>
                <w:szCs w:val="1"/>
                <w:color w:val="auto"/>
              </w:rPr>
            </w:pPr>
          </w:p>
        </w:tc>
      </w:tr>
      <w:tr>
        <w:trPr>
          <w:trHeight w:val="152"/>
        </w:trPr>
        <w:tc>
          <w:tcPr>
            <w:tcW w:w="2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1,519</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4,009</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4,801</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5,379</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5,650</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5,356</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26,719</w:t>
            </w:r>
          </w:p>
        </w:tc>
        <w:tc>
          <w:tcPr>
            <w:tcW w:w="0" w:type="dxa"/>
            <w:vAlign w:val="bottom"/>
          </w:tcPr>
          <w:p>
            <w:pPr>
              <w:spacing w:after="0"/>
              <w:rPr>
                <w:sz w:val="1"/>
                <w:szCs w:val="1"/>
                <w:color w:val="auto"/>
              </w:rPr>
            </w:pPr>
          </w:p>
        </w:tc>
      </w:tr>
      <w:tr>
        <w:trPr>
          <w:trHeight w:val="152"/>
        </w:trPr>
        <w:tc>
          <w:tcPr>
            <w:tcW w:w="2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560" w:type="dxa"/>
            <w:vAlign w:val="bottom"/>
            <w:gridSpan w:val="7"/>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766"/>
        </w:trPr>
        <w:tc>
          <w:tcPr>
            <w:tcW w:w="2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60" w:type="dxa"/>
            <w:vAlign w:val="bottom"/>
            <w:gridSpan w:val="7"/>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Term Loans Amortized Cost Basis by Origination Year</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center"/>
              <w:ind w:right="30"/>
              <w:spacing w:after="0" w:line="127" w:lineRule="exact"/>
              <w:rPr>
                <w:sz w:val="20"/>
                <w:szCs w:val="20"/>
                <w:color w:val="auto"/>
              </w:rPr>
            </w:pPr>
            <w:r>
              <w:rPr>
                <w:rFonts w:ascii="Times New Roman" w:cs="Times New Roman" w:eastAsia="Times New Roman" w:hAnsi="Times New Roman"/>
                <w:sz w:val="14"/>
                <w:szCs w:val="14"/>
                <w:b w:val="1"/>
                <w:bCs w:val="1"/>
                <w:color w:val="auto"/>
              </w:rPr>
              <w:t>Revolving</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140" w:type="dxa"/>
            <w:vAlign w:val="bottom"/>
          </w:tcPr>
          <w:p>
            <w:pPr>
              <w:spacing w:after="0"/>
              <w:rPr>
                <w:sz w:val="12"/>
                <w:szCs w:val="12"/>
                <w:color w:val="auto"/>
              </w:rPr>
            </w:pPr>
          </w:p>
        </w:tc>
        <w:tc>
          <w:tcPr>
            <w:tcW w:w="780" w:type="dxa"/>
            <w:vAlign w:val="bottom"/>
          </w:tcPr>
          <w:p>
            <w:pPr>
              <w:jc w:val="center"/>
              <w:ind w:right="30"/>
              <w:spacing w:after="0" w:line="143" w:lineRule="exact"/>
              <w:rPr>
                <w:sz w:val="20"/>
                <w:szCs w:val="20"/>
                <w:color w:val="auto"/>
              </w:rPr>
            </w:pPr>
            <w:r>
              <w:rPr>
                <w:rFonts w:ascii="Times New Roman" w:cs="Times New Roman" w:eastAsia="Times New Roman" w:hAnsi="Times New Roman"/>
                <w:sz w:val="14"/>
                <w:szCs w:val="14"/>
                <w:b w:val="1"/>
                <w:bCs w:val="1"/>
                <w:color w:val="auto"/>
                <w:w w:val="98"/>
              </w:rPr>
              <w:t>Loans</w:t>
            </w:r>
          </w:p>
        </w:tc>
        <w:tc>
          <w:tcPr>
            <w:tcW w:w="220" w:type="dxa"/>
            <w:vAlign w:val="bottom"/>
          </w:tcPr>
          <w:p>
            <w:pPr>
              <w:spacing w:after="0"/>
              <w:rPr>
                <w:sz w:val="12"/>
                <w:szCs w:val="12"/>
                <w:color w:val="auto"/>
              </w:rPr>
            </w:pPr>
          </w:p>
        </w:tc>
        <w:tc>
          <w:tcPr>
            <w:tcW w:w="780" w:type="dxa"/>
            <w:vAlign w:val="bottom"/>
            <w:vMerge w:val="restart"/>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5"/>
        </w:trPr>
        <w:tc>
          <w:tcPr>
            <w:tcW w:w="2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restart"/>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76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72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720" w:type="dxa"/>
            <w:vAlign w:val="bottom"/>
            <w:vMerge w:val="restart"/>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2"/>
                <w:szCs w:val="12"/>
                <w:color w:val="auto"/>
              </w:rPr>
            </w:pPr>
          </w:p>
        </w:tc>
        <w:tc>
          <w:tcPr>
            <w:tcW w:w="70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2"/>
                <w:szCs w:val="12"/>
                <w:color w:val="auto"/>
              </w:rPr>
            </w:pPr>
          </w:p>
        </w:tc>
        <w:tc>
          <w:tcPr>
            <w:tcW w:w="720" w:type="dxa"/>
            <w:vAlign w:val="bottom"/>
            <w:vMerge w:val="restart"/>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92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Converted to</w:t>
            </w: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7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8"/>
              </w:rPr>
              <w:t>Loans</w:t>
            </w:r>
          </w:p>
        </w:tc>
        <w:tc>
          <w:tcPr>
            <w:tcW w:w="0" w:type="dxa"/>
            <w:vAlign w:val="bottom"/>
          </w:tcPr>
          <w:p>
            <w:pPr>
              <w:spacing w:after="0"/>
              <w:rPr>
                <w:sz w:val="1"/>
                <w:szCs w:val="1"/>
                <w:color w:val="auto"/>
              </w:rPr>
            </w:pPr>
          </w:p>
        </w:tc>
      </w:tr>
      <w:tr>
        <w:trPr>
          <w:trHeight w:val="183"/>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and industrial</w:t>
            </w: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305,032</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231,239</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268,425</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122,318</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69,846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57,591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898,773</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2,889</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1,956,113</w:t>
            </w:r>
          </w:p>
        </w:tc>
        <w:tc>
          <w:tcPr>
            <w:tcW w:w="0" w:type="dxa"/>
            <w:vAlign w:val="bottom"/>
          </w:tcPr>
          <w:p>
            <w:pPr>
              <w:spacing w:after="0"/>
              <w:rPr>
                <w:sz w:val="1"/>
                <w:szCs w:val="1"/>
                <w:color w:val="auto"/>
              </w:rPr>
            </w:pPr>
          </w:p>
        </w:tc>
      </w:tr>
      <w:tr>
        <w:trPr>
          <w:trHeight w:val="204"/>
        </w:trPr>
        <w:tc>
          <w:tcPr>
            <w:tcW w:w="2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299,747</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223,312</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247,845</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121,305</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67,368</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56,003</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874,105</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2,767</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1,892,452</w:t>
            </w:r>
          </w:p>
        </w:tc>
        <w:tc>
          <w:tcPr>
            <w:tcW w:w="0" w:type="dxa"/>
            <w:vAlign w:val="bottom"/>
          </w:tcPr>
          <w:p>
            <w:pPr>
              <w:spacing w:after="0"/>
              <w:rPr>
                <w:sz w:val="1"/>
                <w:szCs w:val="1"/>
                <w:color w:val="auto"/>
              </w:rPr>
            </w:pPr>
          </w:p>
        </w:tc>
      </w:tr>
      <w:tr>
        <w:trPr>
          <w:trHeight w:val="190"/>
        </w:trPr>
        <w:tc>
          <w:tcPr>
            <w:tcW w:w="2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2,874</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3,438</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1,244</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7,006</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16,126</w:t>
            </w:r>
          </w:p>
        </w:tc>
        <w:tc>
          <w:tcPr>
            <w:tcW w:w="0" w:type="dxa"/>
            <w:vAlign w:val="bottom"/>
          </w:tcPr>
          <w:p>
            <w:pPr>
              <w:spacing w:after="0"/>
              <w:rPr>
                <w:sz w:val="1"/>
                <w:szCs w:val="1"/>
                <w:color w:val="auto"/>
              </w:rPr>
            </w:pPr>
          </w:p>
        </w:tc>
      </w:tr>
      <w:tr>
        <w:trPr>
          <w:trHeight w:val="205"/>
        </w:trPr>
        <w:tc>
          <w:tcPr>
            <w:tcW w:w="2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Classified</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4,694</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5,053</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17,142</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17,662</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47,535</w:t>
            </w:r>
          </w:p>
        </w:tc>
        <w:tc>
          <w:tcPr>
            <w:tcW w:w="0" w:type="dxa"/>
            <w:vAlign w:val="bottom"/>
          </w:tcPr>
          <w:p>
            <w:pPr>
              <w:spacing w:after="0"/>
              <w:rPr>
                <w:sz w:val="1"/>
                <w:szCs w:val="1"/>
                <w:color w:val="auto"/>
              </w:rPr>
            </w:pPr>
          </w:p>
        </w:tc>
      </w:tr>
      <w:tr>
        <w:trPr>
          <w:trHeight w:val="145"/>
        </w:trPr>
        <w:tc>
          <w:tcPr>
            <w:tcW w:w="2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2,974</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Loans (continued)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60" w:type="dxa"/>
            <w:vAlign w:val="bottom"/>
            <w:gridSpan w:val="7"/>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Term Loans Amortized Cost Basis by Origination Year</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jc w:val="center"/>
              <w:ind w:right="30"/>
              <w:spacing w:after="0" w:line="125" w:lineRule="exact"/>
              <w:rPr>
                <w:sz w:val="20"/>
                <w:szCs w:val="20"/>
                <w:color w:val="auto"/>
              </w:rPr>
            </w:pPr>
            <w:r>
              <w:rPr>
                <w:rFonts w:ascii="Times New Roman" w:cs="Times New Roman" w:eastAsia="Times New Roman" w:hAnsi="Times New Roman"/>
                <w:sz w:val="14"/>
                <w:szCs w:val="14"/>
                <w:b w:val="1"/>
                <w:bCs w:val="1"/>
                <w:color w:val="auto"/>
              </w:rPr>
              <w:t>Revolving</w:t>
            </w: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center"/>
              <w:ind w:right="30"/>
              <w:spacing w:after="0" w:line="133" w:lineRule="exact"/>
              <w:rPr>
                <w:sz w:val="20"/>
                <w:szCs w:val="20"/>
                <w:color w:val="auto"/>
              </w:rPr>
            </w:pPr>
            <w:r>
              <w:rPr>
                <w:rFonts w:ascii="Times New Roman" w:cs="Times New Roman" w:eastAsia="Times New Roman" w:hAnsi="Times New Roman"/>
                <w:sz w:val="14"/>
                <w:szCs w:val="14"/>
                <w:b w:val="1"/>
                <w:bCs w:val="1"/>
                <w:color w:val="auto"/>
                <w:w w:val="98"/>
              </w:rPr>
              <w:t>Loans</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restart"/>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3"/>
                <w:szCs w:val="13"/>
                <w:color w:val="auto"/>
              </w:rPr>
            </w:pPr>
          </w:p>
        </w:tc>
        <w:tc>
          <w:tcPr>
            <w:tcW w:w="76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3"/>
                <w:szCs w:val="13"/>
                <w:color w:val="auto"/>
              </w:rPr>
            </w:pPr>
          </w:p>
        </w:tc>
        <w:tc>
          <w:tcPr>
            <w:tcW w:w="72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3"/>
                <w:szCs w:val="13"/>
                <w:color w:val="auto"/>
              </w:rPr>
            </w:pPr>
          </w:p>
        </w:tc>
        <w:tc>
          <w:tcPr>
            <w:tcW w:w="720" w:type="dxa"/>
            <w:vAlign w:val="bottom"/>
            <w:vMerge w:val="restart"/>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3"/>
                <w:szCs w:val="13"/>
                <w:color w:val="auto"/>
              </w:rPr>
            </w:pPr>
          </w:p>
        </w:tc>
        <w:tc>
          <w:tcPr>
            <w:tcW w:w="70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3"/>
                <w:szCs w:val="13"/>
                <w:color w:val="auto"/>
              </w:rPr>
            </w:pPr>
          </w:p>
        </w:tc>
        <w:tc>
          <w:tcPr>
            <w:tcW w:w="720" w:type="dxa"/>
            <w:vAlign w:val="bottom"/>
            <w:vMerge w:val="restart"/>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40" w:type="dxa"/>
            <w:vAlign w:val="bottom"/>
          </w:tcPr>
          <w:p>
            <w:pPr>
              <w:spacing w:after="0"/>
              <w:rPr>
                <w:sz w:val="13"/>
                <w:szCs w:val="13"/>
                <w:color w:val="auto"/>
              </w:rPr>
            </w:pPr>
          </w:p>
        </w:tc>
        <w:tc>
          <w:tcPr>
            <w:tcW w:w="800" w:type="dxa"/>
            <w:vAlign w:val="bottom"/>
          </w:tcPr>
          <w:p>
            <w:pPr>
              <w:jc w:val="right"/>
              <w:ind w:right="90"/>
              <w:spacing w:after="0" w:line="156" w:lineRule="exact"/>
              <w:rPr>
                <w:sz w:val="20"/>
                <w:szCs w:val="20"/>
                <w:color w:val="auto"/>
              </w:rPr>
            </w:pPr>
            <w:r>
              <w:rPr>
                <w:rFonts w:ascii="Times New Roman" w:cs="Times New Roman" w:eastAsia="Times New Roman" w:hAnsi="Times New Roman"/>
                <w:sz w:val="14"/>
                <w:szCs w:val="14"/>
                <w:b w:val="1"/>
                <w:bCs w:val="1"/>
                <w:color w:val="auto"/>
              </w:rPr>
              <w:t>Revolving</w:t>
            </w:r>
          </w:p>
        </w:tc>
        <w:tc>
          <w:tcPr>
            <w:tcW w:w="920" w:type="dxa"/>
            <w:vAlign w:val="bottom"/>
            <w:gridSpan w:val="2"/>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w w:val="99"/>
              </w:rPr>
              <w:t>Converted to</w:t>
            </w:r>
          </w:p>
        </w:tc>
        <w:tc>
          <w:tcPr>
            <w:tcW w:w="220" w:type="dxa"/>
            <w:vAlign w:val="bottom"/>
          </w:tcPr>
          <w:p>
            <w:pPr>
              <w:spacing w:after="0"/>
              <w:rPr>
                <w:sz w:val="13"/>
                <w:szCs w:val="13"/>
                <w:color w:val="auto"/>
              </w:rPr>
            </w:pPr>
          </w:p>
        </w:tc>
        <w:tc>
          <w:tcPr>
            <w:tcW w:w="780" w:type="dxa"/>
            <w:vAlign w:val="bottom"/>
          </w:tcPr>
          <w:p>
            <w:pPr>
              <w:jc w:val="right"/>
              <w:ind w:right="270"/>
              <w:spacing w:after="0" w:line="156"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27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0" w:type="dxa"/>
            <w:vAlign w:val="bottom"/>
          </w:tcPr>
          <w:p>
            <w:pPr>
              <w:spacing w:after="0"/>
              <w:rPr>
                <w:sz w:val="1"/>
                <w:szCs w:val="1"/>
                <w:color w:val="auto"/>
              </w:rPr>
            </w:pPr>
          </w:p>
        </w:tc>
      </w:tr>
      <w:tr>
        <w:trPr>
          <w:trHeight w:val="197"/>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Construction and land development</w:t>
            </w: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480,017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274,038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406,832</w:t>
            </w: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29,396</w:t>
            </w: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3,341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5,563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29,561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1,228,923</w:t>
            </w:r>
          </w:p>
        </w:tc>
        <w:tc>
          <w:tcPr>
            <w:tcW w:w="0" w:type="dxa"/>
            <w:vAlign w:val="bottom"/>
          </w:tcPr>
          <w:p>
            <w:pPr>
              <w:spacing w:after="0"/>
              <w:rPr>
                <w:sz w:val="1"/>
                <w:szCs w:val="1"/>
                <w:color w:val="auto"/>
              </w:rPr>
            </w:pPr>
          </w:p>
        </w:tc>
      </w:tr>
      <w:tr>
        <w:trPr>
          <w:trHeight w:val="190"/>
        </w:trPr>
        <w:tc>
          <w:tcPr>
            <w:tcW w:w="2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Residential</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162,972</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15,455</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1,708</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182,006</w:t>
            </w:r>
          </w:p>
        </w:tc>
        <w:tc>
          <w:tcPr>
            <w:tcW w:w="0" w:type="dxa"/>
            <w:vAlign w:val="bottom"/>
          </w:tcPr>
          <w:p>
            <w:pPr>
              <w:spacing w:after="0"/>
              <w:rPr>
                <w:sz w:val="1"/>
                <w:szCs w:val="1"/>
                <w:color w:val="auto"/>
              </w:rPr>
            </w:pPr>
          </w:p>
        </w:tc>
      </w:tr>
      <w:tr>
        <w:trPr>
          <w:trHeight w:val="205"/>
        </w:trPr>
        <w:tc>
          <w:tcPr>
            <w:tcW w:w="2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160,778</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14,673</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1,467</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178,789</w:t>
            </w:r>
          </w:p>
        </w:tc>
        <w:tc>
          <w:tcPr>
            <w:tcW w:w="0" w:type="dxa"/>
            <w:vAlign w:val="bottom"/>
          </w:tcPr>
          <w:p>
            <w:pPr>
              <w:spacing w:after="0"/>
              <w:rPr>
                <w:sz w:val="1"/>
                <w:szCs w:val="1"/>
                <w:color w:val="auto"/>
              </w:rPr>
            </w:pPr>
          </w:p>
        </w:tc>
      </w:tr>
      <w:tr>
        <w:trPr>
          <w:trHeight w:val="190"/>
        </w:trPr>
        <w:tc>
          <w:tcPr>
            <w:tcW w:w="27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2,194</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2,194</w:t>
            </w:r>
          </w:p>
        </w:tc>
        <w:tc>
          <w:tcPr>
            <w:tcW w:w="0" w:type="dxa"/>
            <w:vAlign w:val="bottom"/>
          </w:tcPr>
          <w:p>
            <w:pPr>
              <w:spacing w:after="0"/>
              <w:rPr>
                <w:sz w:val="1"/>
                <w:szCs w:val="1"/>
                <w:color w:val="auto"/>
              </w:rPr>
            </w:pPr>
          </w:p>
        </w:tc>
      </w:tr>
      <w:tr>
        <w:trPr>
          <w:trHeight w:val="205"/>
        </w:trPr>
        <w:tc>
          <w:tcPr>
            <w:tcW w:w="2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Classified</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1,023</w:t>
            </w:r>
          </w:p>
        </w:tc>
        <w:tc>
          <w:tcPr>
            <w:tcW w:w="0" w:type="dxa"/>
            <w:vAlign w:val="bottom"/>
          </w:tcPr>
          <w:p>
            <w:pPr>
              <w:spacing w:after="0"/>
              <w:rPr>
                <w:sz w:val="1"/>
                <w:szCs w:val="1"/>
                <w:color w:val="auto"/>
              </w:rPr>
            </w:pPr>
          </w:p>
        </w:tc>
      </w:tr>
      <w:tr>
        <w:trPr>
          <w:trHeight w:val="145"/>
        </w:trPr>
        <w:tc>
          <w:tcPr>
            <w:tcW w:w="2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145"/>
        </w:trPr>
        <w:tc>
          <w:tcPr>
            <w:tcW w:w="2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317,045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258,583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405,124</w:t>
            </w: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29,396</w:t>
            </w: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28,315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1,046,917</w:t>
            </w:r>
          </w:p>
        </w:tc>
        <w:tc>
          <w:tcPr>
            <w:tcW w:w="0" w:type="dxa"/>
            <w:vAlign w:val="bottom"/>
          </w:tcPr>
          <w:p>
            <w:pPr>
              <w:spacing w:after="0"/>
              <w:rPr>
                <w:sz w:val="1"/>
                <w:szCs w:val="1"/>
                <w:color w:val="auto"/>
              </w:rPr>
            </w:pPr>
          </w:p>
        </w:tc>
      </w:tr>
      <w:tr>
        <w:trPr>
          <w:trHeight w:val="190"/>
        </w:trPr>
        <w:tc>
          <w:tcPr>
            <w:tcW w:w="27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316,880</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246,219</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399,895</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29,192</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3,091</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4,902</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28,315</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1,028,669</w:t>
            </w:r>
          </w:p>
        </w:tc>
        <w:tc>
          <w:tcPr>
            <w:tcW w:w="0" w:type="dxa"/>
            <w:vAlign w:val="bottom"/>
          </w:tcPr>
          <w:p>
            <w:pPr>
              <w:spacing w:after="0"/>
              <w:rPr>
                <w:sz w:val="1"/>
                <w:szCs w:val="1"/>
                <w:color w:val="auto"/>
              </w:rPr>
            </w:pPr>
          </w:p>
        </w:tc>
      </w:tr>
      <w:tr>
        <w:trPr>
          <w:trHeight w:val="205"/>
        </w:trPr>
        <w:tc>
          <w:tcPr>
            <w:tcW w:w="2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12,345</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1,882</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14,482</w:t>
            </w:r>
          </w:p>
        </w:tc>
        <w:tc>
          <w:tcPr>
            <w:tcW w:w="0" w:type="dxa"/>
            <w:vAlign w:val="bottom"/>
          </w:tcPr>
          <w:p>
            <w:pPr>
              <w:spacing w:after="0"/>
              <w:rPr>
                <w:sz w:val="1"/>
                <w:szCs w:val="1"/>
                <w:color w:val="auto"/>
              </w:rPr>
            </w:pPr>
          </w:p>
        </w:tc>
      </w:tr>
      <w:tr>
        <w:trPr>
          <w:trHeight w:val="190"/>
        </w:trPr>
        <w:tc>
          <w:tcPr>
            <w:tcW w:w="27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Classified</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3,347</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3,766</w:t>
            </w:r>
          </w:p>
        </w:tc>
        <w:tc>
          <w:tcPr>
            <w:tcW w:w="0" w:type="dxa"/>
            <w:vAlign w:val="bottom"/>
          </w:tcPr>
          <w:p>
            <w:pPr>
              <w:spacing w:after="0"/>
              <w:rPr>
                <w:sz w:val="1"/>
                <w:szCs w:val="1"/>
                <w:color w:val="auto"/>
              </w:rPr>
            </w:pPr>
          </w:p>
        </w:tc>
      </w:tr>
      <w:tr>
        <w:trPr>
          <w:trHeight w:val="152"/>
        </w:trPr>
        <w:tc>
          <w:tcPr>
            <w:tcW w:w="2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2"/>
        </w:trPr>
        <w:tc>
          <w:tcPr>
            <w:tcW w:w="2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7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Real Estate - 1-4 Family Mortgage</w:t>
            </w: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108,462</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90,023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116,310</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65,019</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33,491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24,714</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35,425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474,594</w:t>
            </w:r>
          </w:p>
        </w:tc>
        <w:tc>
          <w:tcPr>
            <w:tcW w:w="0" w:type="dxa"/>
            <w:vAlign w:val="bottom"/>
          </w:tcPr>
          <w:p>
            <w:pPr>
              <w:spacing w:after="0"/>
              <w:rPr>
                <w:sz w:val="1"/>
                <w:szCs w:val="1"/>
                <w:color w:val="auto"/>
              </w:rPr>
            </w:pPr>
          </w:p>
        </w:tc>
      </w:tr>
      <w:tr>
        <w:trPr>
          <w:trHeight w:val="204"/>
        </w:trPr>
        <w:tc>
          <w:tcPr>
            <w:tcW w:w="2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First lien</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103,597</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83,005</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113,132</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63,150</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32,059</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23,574</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4,873</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424,374</w:t>
            </w:r>
          </w:p>
        </w:tc>
        <w:tc>
          <w:tcPr>
            <w:tcW w:w="0" w:type="dxa"/>
            <w:vAlign w:val="bottom"/>
          </w:tcPr>
          <w:p>
            <w:pPr>
              <w:spacing w:after="0"/>
              <w:rPr>
                <w:sz w:val="1"/>
                <w:szCs w:val="1"/>
                <w:color w:val="auto"/>
              </w:rPr>
            </w:pPr>
          </w:p>
        </w:tc>
      </w:tr>
      <w:tr>
        <w:trPr>
          <w:trHeight w:val="190"/>
        </w:trPr>
        <w:tc>
          <w:tcPr>
            <w:tcW w:w="27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103,192</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82,201</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112,684</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62,703</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31,966</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22,794</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4,873</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421,326</w:t>
            </w:r>
          </w:p>
        </w:tc>
        <w:tc>
          <w:tcPr>
            <w:tcW w:w="0" w:type="dxa"/>
            <w:vAlign w:val="bottom"/>
          </w:tcPr>
          <w:p>
            <w:pPr>
              <w:spacing w:after="0"/>
              <w:rPr>
                <w:sz w:val="1"/>
                <w:szCs w:val="1"/>
                <w:color w:val="auto"/>
              </w:rPr>
            </w:pPr>
          </w:p>
        </w:tc>
      </w:tr>
      <w:tr>
        <w:trPr>
          <w:trHeight w:val="205"/>
        </w:trPr>
        <w:tc>
          <w:tcPr>
            <w:tcW w:w="2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w:t>
            </w:r>
          </w:p>
        </w:tc>
        <w:tc>
          <w:tcPr>
            <w:tcW w:w="0" w:type="dxa"/>
            <w:vAlign w:val="bottom"/>
          </w:tcPr>
          <w:p>
            <w:pPr>
              <w:spacing w:after="0"/>
              <w:rPr>
                <w:sz w:val="1"/>
                <w:szCs w:val="1"/>
                <w:color w:val="auto"/>
              </w:rPr>
            </w:pPr>
          </w:p>
        </w:tc>
      </w:tr>
      <w:tr>
        <w:trPr>
          <w:trHeight w:val="190"/>
        </w:trPr>
        <w:tc>
          <w:tcPr>
            <w:tcW w:w="27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Classified</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2,180</w:t>
            </w:r>
          </w:p>
        </w:tc>
        <w:tc>
          <w:tcPr>
            <w:tcW w:w="0" w:type="dxa"/>
            <w:vAlign w:val="bottom"/>
          </w:tcPr>
          <w:p>
            <w:pPr>
              <w:spacing w:after="0"/>
              <w:rPr>
                <w:sz w:val="1"/>
                <w:szCs w:val="1"/>
                <w:color w:val="auto"/>
              </w:rPr>
            </w:pPr>
          </w:p>
        </w:tc>
      </w:tr>
      <w:tr>
        <w:trPr>
          <w:trHeight w:val="152"/>
        </w:trPr>
        <w:tc>
          <w:tcPr>
            <w:tcW w:w="2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52"/>
        </w:trPr>
        <w:tc>
          <w:tcPr>
            <w:tcW w:w="2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Junior lien</w:t>
            </w: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3,897</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3,171</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1,576</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18,241</w:t>
            </w:r>
          </w:p>
        </w:tc>
        <w:tc>
          <w:tcPr>
            <w:tcW w:w="0" w:type="dxa"/>
            <w:vAlign w:val="bottom"/>
          </w:tcPr>
          <w:p>
            <w:pPr>
              <w:spacing w:after="0"/>
              <w:rPr>
                <w:sz w:val="1"/>
                <w:szCs w:val="1"/>
                <w:color w:val="auto"/>
              </w:rPr>
            </w:pPr>
          </w:p>
        </w:tc>
      </w:tr>
      <w:tr>
        <w:trPr>
          <w:trHeight w:val="205"/>
        </w:trPr>
        <w:tc>
          <w:tcPr>
            <w:tcW w:w="2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3,758</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5,803</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3,171</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1,432</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1,576</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17,134</w:t>
            </w:r>
          </w:p>
        </w:tc>
        <w:tc>
          <w:tcPr>
            <w:tcW w:w="0" w:type="dxa"/>
            <w:vAlign w:val="bottom"/>
          </w:tcPr>
          <w:p>
            <w:pPr>
              <w:spacing w:after="0"/>
              <w:rPr>
                <w:sz w:val="1"/>
                <w:szCs w:val="1"/>
                <w:color w:val="auto"/>
              </w:rPr>
            </w:pPr>
          </w:p>
        </w:tc>
      </w:tr>
      <w:tr>
        <w:trPr>
          <w:trHeight w:val="190"/>
        </w:trPr>
        <w:tc>
          <w:tcPr>
            <w:tcW w:w="27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0" w:type="dxa"/>
            <w:vAlign w:val="bottom"/>
          </w:tcPr>
          <w:p>
            <w:pPr>
              <w:spacing w:after="0"/>
              <w:rPr>
                <w:sz w:val="1"/>
                <w:szCs w:val="1"/>
                <w:color w:val="auto"/>
              </w:rPr>
            </w:pPr>
          </w:p>
        </w:tc>
      </w:tr>
      <w:tr>
        <w:trPr>
          <w:trHeight w:val="205"/>
        </w:trPr>
        <w:tc>
          <w:tcPr>
            <w:tcW w:w="2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Classified</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w:t>
            </w:r>
          </w:p>
        </w:tc>
        <w:tc>
          <w:tcPr>
            <w:tcW w:w="0" w:type="dxa"/>
            <w:vAlign w:val="bottom"/>
          </w:tcPr>
          <w:p>
            <w:pPr>
              <w:spacing w:after="0"/>
              <w:rPr>
                <w:sz w:val="1"/>
                <w:szCs w:val="1"/>
                <w:color w:val="auto"/>
              </w:rPr>
            </w:pPr>
          </w:p>
        </w:tc>
      </w:tr>
      <w:tr>
        <w:trPr>
          <w:trHeight w:val="145"/>
        </w:trPr>
        <w:tc>
          <w:tcPr>
            <w:tcW w:w="2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45"/>
        </w:trPr>
        <w:tc>
          <w:tcPr>
            <w:tcW w:w="2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Home equity</w:t>
            </w: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w:t>
            </w: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28,976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31,979</w:t>
            </w:r>
          </w:p>
        </w:tc>
        <w:tc>
          <w:tcPr>
            <w:tcW w:w="0" w:type="dxa"/>
            <w:vAlign w:val="bottom"/>
          </w:tcPr>
          <w:p>
            <w:pPr>
              <w:spacing w:after="0"/>
              <w:rPr>
                <w:sz w:val="1"/>
                <w:szCs w:val="1"/>
                <w:color w:val="auto"/>
              </w:rPr>
            </w:pPr>
          </w:p>
        </w:tc>
      </w:tr>
      <w:tr>
        <w:trPr>
          <w:trHeight w:val="190"/>
        </w:trPr>
        <w:tc>
          <w:tcPr>
            <w:tcW w:w="27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1,005</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937</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28,976</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31,893</w:t>
            </w:r>
          </w:p>
        </w:tc>
        <w:tc>
          <w:tcPr>
            <w:tcW w:w="0" w:type="dxa"/>
            <w:vAlign w:val="bottom"/>
          </w:tcPr>
          <w:p>
            <w:pPr>
              <w:spacing w:after="0"/>
              <w:rPr>
                <w:sz w:val="1"/>
                <w:szCs w:val="1"/>
                <w:color w:val="auto"/>
              </w:rPr>
            </w:pPr>
          </w:p>
        </w:tc>
      </w:tr>
      <w:tr>
        <w:trPr>
          <w:trHeight w:val="205"/>
        </w:trPr>
        <w:tc>
          <w:tcPr>
            <w:tcW w:w="2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27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Classified</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52"/>
        </w:trPr>
        <w:tc>
          <w:tcPr>
            <w:tcW w:w="2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52"/>
        </w:trPr>
        <w:tc>
          <w:tcPr>
            <w:tcW w:w="2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7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Commercial real estate - owner occupied</w:t>
            </w: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373,353</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271,445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339,116</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275,077</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190,911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304,663</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137,023</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2,969</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1,894,557</w:t>
            </w:r>
          </w:p>
        </w:tc>
        <w:tc>
          <w:tcPr>
            <w:tcW w:w="0" w:type="dxa"/>
            <w:vAlign w:val="bottom"/>
          </w:tcPr>
          <w:p>
            <w:pPr>
              <w:spacing w:after="0"/>
              <w:rPr>
                <w:sz w:val="1"/>
                <w:szCs w:val="1"/>
                <w:color w:val="auto"/>
              </w:rPr>
            </w:pPr>
          </w:p>
        </w:tc>
      </w:tr>
      <w:tr>
        <w:trPr>
          <w:trHeight w:val="204"/>
        </w:trPr>
        <w:tc>
          <w:tcPr>
            <w:tcW w:w="2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372,183</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261,624</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330,018</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271,228</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188,860</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299,578</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130,847</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2,717</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1,857,055</w:t>
            </w:r>
          </w:p>
        </w:tc>
        <w:tc>
          <w:tcPr>
            <w:tcW w:w="0" w:type="dxa"/>
            <w:vAlign w:val="bottom"/>
          </w:tcPr>
          <w:p>
            <w:pPr>
              <w:spacing w:after="0"/>
              <w:rPr>
                <w:sz w:val="1"/>
                <w:szCs w:val="1"/>
                <w:color w:val="auto"/>
              </w:rPr>
            </w:pPr>
          </w:p>
        </w:tc>
      </w:tr>
      <w:tr>
        <w:trPr>
          <w:trHeight w:val="190"/>
        </w:trPr>
        <w:tc>
          <w:tcPr>
            <w:tcW w:w="27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1,538</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4,203</w:t>
            </w:r>
          </w:p>
        </w:tc>
        <w:tc>
          <w:tcPr>
            <w:tcW w:w="0" w:type="dxa"/>
            <w:vAlign w:val="bottom"/>
          </w:tcPr>
          <w:p>
            <w:pPr>
              <w:spacing w:after="0"/>
              <w:rPr>
                <w:sz w:val="1"/>
                <w:szCs w:val="1"/>
                <w:color w:val="auto"/>
              </w:rPr>
            </w:pPr>
          </w:p>
        </w:tc>
      </w:tr>
      <w:tr>
        <w:trPr>
          <w:trHeight w:val="205"/>
        </w:trPr>
        <w:tc>
          <w:tcPr>
            <w:tcW w:w="2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Classified</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9,473</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8,710</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2,999</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1,920</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3,547</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6,176</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33,299</w:t>
            </w:r>
          </w:p>
        </w:tc>
        <w:tc>
          <w:tcPr>
            <w:tcW w:w="0" w:type="dxa"/>
            <w:vAlign w:val="bottom"/>
          </w:tcPr>
          <w:p>
            <w:pPr>
              <w:spacing w:after="0"/>
              <w:rPr>
                <w:sz w:val="1"/>
                <w:szCs w:val="1"/>
                <w:color w:val="auto"/>
              </w:rPr>
            </w:pPr>
          </w:p>
        </w:tc>
      </w:tr>
      <w:tr>
        <w:trPr>
          <w:trHeight w:val="145"/>
        </w:trPr>
        <w:tc>
          <w:tcPr>
            <w:tcW w:w="2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45"/>
        </w:trPr>
        <w:tc>
          <w:tcPr>
            <w:tcW w:w="2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760" w:type="dxa"/>
            <w:vAlign w:val="bottom"/>
            <w:shd w:val="clear" w:color="auto" w:fill="CCEEFF"/>
          </w:tcPr>
          <w:p>
            <w:pPr>
              <w:ind w:left="140"/>
              <w:spacing w:after="0" w:line="132" w:lineRule="exact"/>
              <w:rPr>
                <w:sz w:val="20"/>
                <w:szCs w:val="20"/>
                <w:color w:val="auto"/>
              </w:rPr>
            </w:pPr>
            <w:r>
              <w:rPr>
                <w:rFonts w:ascii="Times New Roman" w:cs="Times New Roman" w:eastAsia="Times New Roman" w:hAnsi="Times New Roman"/>
                <w:sz w:val="14"/>
                <w:szCs w:val="14"/>
                <w:b w:val="1"/>
                <w:bCs w:val="1"/>
                <w:color w:val="auto"/>
              </w:rPr>
              <w:t>Commercial real estate - non owner</w:t>
            </w:r>
          </w:p>
        </w:tc>
        <w:tc>
          <w:tcPr>
            <w:tcW w:w="22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576,021</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427,715</w:t>
            </w: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1,447,378</w:t>
            </w:r>
          </w:p>
        </w:tc>
        <w:tc>
          <w:tcPr>
            <w:tcW w:w="22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724,161</w:t>
            </w:r>
          </w:p>
        </w:tc>
        <w:tc>
          <w:tcPr>
            <w:tcW w:w="22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428,874</w:t>
            </w: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484,792</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105,645</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32,331</w:t>
            </w: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4,226,917</w:t>
            </w:r>
          </w:p>
        </w:tc>
        <w:tc>
          <w:tcPr>
            <w:tcW w:w="0" w:type="dxa"/>
            <w:vAlign w:val="bottom"/>
          </w:tcPr>
          <w:p>
            <w:pPr>
              <w:spacing w:after="0"/>
              <w:rPr>
                <w:sz w:val="1"/>
                <w:szCs w:val="1"/>
                <w:color w:val="auto"/>
              </w:rPr>
            </w:pPr>
          </w:p>
        </w:tc>
      </w:tr>
      <w:tr>
        <w:trPr>
          <w:trHeight w:val="197"/>
        </w:trPr>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occupied</w:t>
            </w:r>
          </w:p>
        </w:tc>
        <w:tc>
          <w:tcPr>
            <w:tcW w:w="22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Multi family</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66,026</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37,149</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413,008</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316,773</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118,185</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28,105</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4,164</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1,627</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985,037</w:t>
            </w:r>
          </w:p>
        </w:tc>
        <w:tc>
          <w:tcPr>
            <w:tcW w:w="0" w:type="dxa"/>
            <w:vAlign w:val="bottom"/>
          </w:tcPr>
          <w:p>
            <w:pPr>
              <w:spacing w:after="0"/>
              <w:rPr>
                <w:sz w:val="1"/>
                <w:szCs w:val="1"/>
                <w:color w:val="auto"/>
              </w:rPr>
            </w:pPr>
          </w:p>
        </w:tc>
      </w:tr>
      <w:tr>
        <w:trPr>
          <w:trHeight w:val="205"/>
        </w:trPr>
        <w:tc>
          <w:tcPr>
            <w:tcW w:w="2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65,912</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37,149</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387,936</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316,773</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118,185</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28,056</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4,164</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1,627</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959,802</w:t>
            </w:r>
          </w:p>
        </w:tc>
        <w:tc>
          <w:tcPr>
            <w:tcW w:w="0" w:type="dxa"/>
            <w:vAlign w:val="bottom"/>
          </w:tcPr>
          <w:p>
            <w:pPr>
              <w:spacing w:after="0"/>
              <w:rPr>
                <w:sz w:val="1"/>
                <w:szCs w:val="1"/>
                <w:color w:val="auto"/>
              </w:rPr>
            </w:pPr>
          </w:p>
        </w:tc>
      </w:tr>
      <w:tr>
        <w:trPr>
          <w:trHeight w:val="190"/>
        </w:trPr>
        <w:tc>
          <w:tcPr>
            <w:tcW w:w="27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25,072</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25,072</w:t>
            </w:r>
          </w:p>
        </w:tc>
        <w:tc>
          <w:tcPr>
            <w:tcW w:w="0" w:type="dxa"/>
            <w:vAlign w:val="bottom"/>
          </w:tcPr>
          <w:p>
            <w:pPr>
              <w:spacing w:after="0"/>
              <w:rPr>
                <w:sz w:val="1"/>
                <w:szCs w:val="1"/>
                <w:color w:val="auto"/>
              </w:rPr>
            </w:pPr>
          </w:p>
        </w:tc>
      </w:tr>
      <w:tr>
        <w:trPr>
          <w:trHeight w:val="205"/>
        </w:trPr>
        <w:tc>
          <w:tcPr>
            <w:tcW w:w="2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Classified</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Loans (continued)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60" w:type="dxa"/>
            <w:vAlign w:val="bottom"/>
            <w:gridSpan w:val="7"/>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Term Loans Amortized Cost Basis by Origination Year</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jc w:val="center"/>
              <w:ind w:right="30"/>
              <w:spacing w:after="0" w:line="125" w:lineRule="exact"/>
              <w:rPr>
                <w:sz w:val="20"/>
                <w:szCs w:val="20"/>
                <w:color w:val="auto"/>
              </w:rPr>
            </w:pPr>
            <w:r>
              <w:rPr>
                <w:rFonts w:ascii="Times New Roman" w:cs="Times New Roman" w:eastAsia="Times New Roman" w:hAnsi="Times New Roman"/>
                <w:sz w:val="14"/>
                <w:szCs w:val="14"/>
                <w:b w:val="1"/>
                <w:bCs w:val="1"/>
                <w:color w:val="auto"/>
              </w:rPr>
              <w:t>Revolving</w:t>
            </w: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center"/>
              <w:ind w:right="30"/>
              <w:spacing w:after="0" w:line="133" w:lineRule="exact"/>
              <w:rPr>
                <w:sz w:val="20"/>
                <w:szCs w:val="20"/>
                <w:color w:val="auto"/>
              </w:rPr>
            </w:pPr>
            <w:r>
              <w:rPr>
                <w:rFonts w:ascii="Times New Roman" w:cs="Times New Roman" w:eastAsia="Times New Roman" w:hAnsi="Times New Roman"/>
                <w:sz w:val="14"/>
                <w:szCs w:val="14"/>
                <w:b w:val="1"/>
                <w:bCs w:val="1"/>
                <w:color w:val="auto"/>
                <w:w w:val="98"/>
              </w:rPr>
              <w:t>Loans</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restart"/>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3"/>
                <w:szCs w:val="13"/>
                <w:color w:val="auto"/>
              </w:rPr>
            </w:pPr>
          </w:p>
        </w:tc>
        <w:tc>
          <w:tcPr>
            <w:tcW w:w="76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3"/>
                <w:szCs w:val="13"/>
                <w:color w:val="auto"/>
              </w:rPr>
            </w:pPr>
          </w:p>
        </w:tc>
        <w:tc>
          <w:tcPr>
            <w:tcW w:w="72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3"/>
                <w:szCs w:val="13"/>
                <w:color w:val="auto"/>
              </w:rPr>
            </w:pPr>
          </w:p>
        </w:tc>
        <w:tc>
          <w:tcPr>
            <w:tcW w:w="720" w:type="dxa"/>
            <w:vAlign w:val="bottom"/>
            <w:vMerge w:val="restart"/>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3"/>
                <w:szCs w:val="13"/>
                <w:color w:val="auto"/>
              </w:rPr>
            </w:pPr>
          </w:p>
        </w:tc>
        <w:tc>
          <w:tcPr>
            <w:tcW w:w="70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3"/>
                <w:szCs w:val="13"/>
                <w:color w:val="auto"/>
              </w:rPr>
            </w:pPr>
          </w:p>
        </w:tc>
        <w:tc>
          <w:tcPr>
            <w:tcW w:w="720" w:type="dxa"/>
            <w:vAlign w:val="bottom"/>
            <w:vMerge w:val="restart"/>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40" w:type="dxa"/>
            <w:vAlign w:val="bottom"/>
          </w:tcPr>
          <w:p>
            <w:pPr>
              <w:spacing w:after="0"/>
              <w:rPr>
                <w:sz w:val="13"/>
                <w:szCs w:val="13"/>
                <w:color w:val="auto"/>
              </w:rPr>
            </w:pPr>
          </w:p>
        </w:tc>
        <w:tc>
          <w:tcPr>
            <w:tcW w:w="800" w:type="dxa"/>
            <w:vAlign w:val="bottom"/>
          </w:tcPr>
          <w:p>
            <w:pPr>
              <w:jc w:val="right"/>
              <w:ind w:right="90"/>
              <w:spacing w:after="0" w:line="156" w:lineRule="exact"/>
              <w:rPr>
                <w:sz w:val="20"/>
                <w:szCs w:val="20"/>
                <w:color w:val="auto"/>
              </w:rPr>
            </w:pPr>
            <w:r>
              <w:rPr>
                <w:rFonts w:ascii="Times New Roman" w:cs="Times New Roman" w:eastAsia="Times New Roman" w:hAnsi="Times New Roman"/>
                <w:sz w:val="14"/>
                <w:szCs w:val="14"/>
                <w:b w:val="1"/>
                <w:bCs w:val="1"/>
                <w:color w:val="auto"/>
              </w:rPr>
              <w:t>Revolving</w:t>
            </w:r>
          </w:p>
        </w:tc>
        <w:tc>
          <w:tcPr>
            <w:tcW w:w="920" w:type="dxa"/>
            <w:vAlign w:val="bottom"/>
            <w:gridSpan w:val="2"/>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w w:val="99"/>
              </w:rPr>
              <w:t>Converted to</w:t>
            </w:r>
          </w:p>
        </w:tc>
        <w:tc>
          <w:tcPr>
            <w:tcW w:w="220" w:type="dxa"/>
            <w:vAlign w:val="bottom"/>
          </w:tcPr>
          <w:p>
            <w:pPr>
              <w:spacing w:after="0"/>
              <w:rPr>
                <w:sz w:val="13"/>
                <w:szCs w:val="13"/>
                <w:color w:val="auto"/>
              </w:rPr>
            </w:pPr>
          </w:p>
        </w:tc>
        <w:tc>
          <w:tcPr>
            <w:tcW w:w="780" w:type="dxa"/>
            <w:vAlign w:val="bottom"/>
          </w:tcPr>
          <w:p>
            <w:pPr>
              <w:jc w:val="right"/>
              <w:ind w:right="270"/>
              <w:spacing w:after="0" w:line="156"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27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0" w:type="dxa"/>
            <w:vAlign w:val="bottom"/>
          </w:tcPr>
          <w:p>
            <w:pPr>
              <w:spacing w:after="0"/>
              <w:rPr>
                <w:sz w:val="1"/>
                <w:szCs w:val="1"/>
                <w:color w:val="auto"/>
              </w:rPr>
            </w:pPr>
          </w:p>
        </w:tc>
      </w:tr>
      <w:tr>
        <w:trPr>
          <w:trHeight w:val="197"/>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5"/>
        </w:trPr>
        <w:tc>
          <w:tcPr>
            <w:tcW w:w="2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509,995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390,566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1,034,370</w:t>
            </w: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407,388</w:t>
            </w: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310,689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456,687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101,481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30,704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3,241,880</w:t>
            </w:r>
          </w:p>
        </w:tc>
        <w:tc>
          <w:tcPr>
            <w:tcW w:w="0" w:type="dxa"/>
            <w:vAlign w:val="bottom"/>
          </w:tcPr>
          <w:p>
            <w:pPr>
              <w:spacing w:after="0"/>
              <w:rPr>
                <w:sz w:val="1"/>
                <w:szCs w:val="1"/>
                <w:color w:val="auto"/>
              </w:rPr>
            </w:pPr>
          </w:p>
        </w:tc>
      </w:tr>
      <w:tr>
        <w:trPr>
          <w:trHeight w:val="190"/>
        </w:trPr>
        <w:tc>
          <w:tcPr>
            <w:tcW w:w="27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488,183</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390,190</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966,482</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401,270</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307,106</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402,164</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101,481</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22,733</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3,079,609</w:t>
            </w:r>
          </w:p>
        </w:tc>
        <w:tc>
          <w:tcPr>
            <w:tcW w:w="0" w:type="dxa"/>
            <w:vAlign w:val="bottom"/>
          </w:tcPr>
          <w:p>
            <w:pPr>
              <w:spacing w:after="0"/>
              <w:rPr>
                <w:sz w:val="1"/>
                <w:szCs w:val="1"/>
                <w:color w:val="auto"/>
              </w:rPr>
            </w:pPr>
          </w:p>
        </w:tc>
      </w:tr>
      <w:tr>
        <w:trPr>
          <w:trHeight w:val="205"/>
        </w:trPr>
        <w:tc>
          <w:tcPr>
            <w:tcW w:w="2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4,900</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52,670</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8,254</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67,797</w:t>
            </w:r>
          </w:p>
        </w:tc>
        <w:tc>
          <w:tcPr>
            <w:tcW w:w="0" w:type="dxa"/>
            <w:vAlign w:val="bottom"/>
          </w:tcPr>
          <w:p>
            <w:pPr>
              <w:spacing w:after="0"/>
              <w:rPr>
                <w:sz w:val="1"/>
                <w:szCs w:val="1"/>
                <w:color w:val="auto"/>
              </w:rPr>
            </w:pPr>
          </w:p>
        </w:tc>
      </w:tr>
      <w:tr>
        <w:trPr>
          <w:trHeight w:val="190"/>
        </w:trPr>
        <w:tc>
          <w:tcPr>
            <w:tcW w:w="27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Classified</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16,912</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15,218</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5,304</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2,445</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46,269</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7,971</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94,474</w:t>
            </w:r>
          </w:p>
        </w:tc>
        <w:tc>
          <w:tcPr>
            <w:tcW w:w="0" w:type="dxa"/>
            <w:vAlign w:val="bottom"/>
          </w:tcPr>
          <w:p>
            <w:pPr>
              <w:spacing w:after="0"/>
              <w:rPr>
                <w:sz w:val="1"/>
                <w:szCs w:val="1"/>
                <w:color w:val="auto"/>
              </w:rPr>
            </w:pPr>
          </w:p>
        </w:tc>
      </w:tr>
      <w:tr>
        <w:trPr>
          <w:trHeight w:val="152"/>
        </w:trPr>
        <w:tc>
          <w:tcPr>
            <w:tcW w:w="2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5,693</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5,693</w:t>
            </w:r>
          </w:p>
        </w:tc>
        <w:tc>
          <w:tcPr>
            <w:tcW w:w="0" w:type="dxa"/>
            <w:vAlign w:val="bottom"/>
          </w:tcPr>
          <w:p>
            <w:pPr>
              <w:spacing w:after="0"/>
              <w:rPr>
                <w:sz w:val="1"/>
                <w:szCs w:val="1"/>
                <w:color w:val="auto"/>
              </w:rPr>
            </w:pPr>
          </w:p>
        </w:tc>
      </w:tr>
      <w:tr>
        <w:trPr>
          <w:trHeight w:val="152"/>
        </w:trPr>
        <w:tc>
          <w:tcPr>
            <w:tcW w:w="2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spacing w:after="0"/>
              <w:rPr>
                <w:sz w:val="13"/>
                <w:szCs w:val="13"/>
                <w:color w:val="auto"/>
              </w:rPr>
            </w:pPr>
          </w:p>
        </w:tc>
        <w:tc>
          <w:tcPr>
            <w:tcW w:w="940" w:type="dxa"/>
            <w:vAlign w:val="bottom"/>
            <w:gridSpan w:val="2"/>
            <w:shd w:val="clear" w:color="auto" w:fill="CCEEFF"/>
          </w:tcPr>
          <w:p>
            <w:pPr>
              <w:spacing w:after="0"/>
              <w:rPr>
                <w:sz w:val="13"/>
                <w:szCs w:val="13"/>
                <w:color w:val="auto"/>
              </w:rPr>
            </w:pPr>
          </w:p>
        </w:tc>
        <w:tc>
          <w:tcPr>
            <w:tcW w:w="940" w:type="dxa"/>
            <w:vAlign w:val="bottom"/>
            <w:gridSpan w:val="2"/>
            <w:shd w:val="clear" w:color="auto" w:fill="CCEEFF"/>
          </w:tcPr>
          <w:p>
            <w:pPr>
              <w:spacing w:after="0"/>
              <w:rPr>
                <w:sz w:val="13"/>
                <w:szCs w:val="13"/>
                <w:color w:val="auto"/>
              </w:rPr>
            </w:pPr>
          </w:p>
        </w:tc>
        <w:tc>
          <w:tcPr>
            <w:tcW w:w="920" w:type="dxa"/>
            <w:vAlign w:val="bottom"/>
            <w:gridSpan w:val="2"/>
            <w:shd w:val="clear" w:color="auto" w:fill="CCEEFF"/>
          </w:tcPr>
          <w:p>
            <w:pPr>
              <w:spacing w:after="0"/>
              <w:rPr>
                <w:sz w:val="13"/>
                <w:szCs w:val="13"/>
                <w:color w:val="auto"/>
              </w:rPr>
            </w:pPr>
          </w:p>
        </w:tc>
        <w:tc>
          <w:tcPr>
            <w:tcW w:w="860" w:type="dxa"/>
            <w:vAlign w:val="bottom"/>
            <w:gridSpan w:val="2"/>
            <w:shd w:val="clear" w:color="auto" w:fill="CCEEFF"/>
          </w:tcPr>
          <w:p>
            <w:pPr>
              <w:spacing w:after="0"/>
              <w:rPr>
                <w:sz w:val="13"/>
                <w:szCs w:val="13"/>
                <w:color w:val="auto"/>
              </w:rPr>
            </w:pPr>
          </w:p>
        </w:tc>
        <w:tc>
          <w:tcPr>
            <w:tcW w:w="940" w:type="dxa"/>
            <w:vAlign w:val="bottom"/>
            <w:gridSpan w:val="2"/>
            <w:shd w:val="clear" w:color="auto" w:fill="CCEEFF"/>
          </w:tcPr>
          <w:p>
            <w:pPr>
              <w:spacing w:after="0"/>
              <w:rPr>
                <w:sz w:val="13"/>
                <w:szCs w:val="13"/>
                <w:color w:val="auto"/>
              </w:rPr>
            </w:pPr>
          </w:p>
        </w:tc>
        <w:tc>
          <w:tcPr>
            <w:tcW w:w="1000" w:type="dxa"/>
            <w:vAlign w:val="bottom"/>
            <w:gridSpan w:val="2"/>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7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4"/>
        </w:trPr>
        <w:tc>
          <w:tcPr>
            <w:tcW w:w="2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0"/>
        </w:trPr>
        <w:tc>
          <w:tcPr>
            <w:tcW w:w="27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2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Classified</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5"/>
        </w:trPr>
        <w:tc>
          <w:tcPr>
            <w:tcW w:w="2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5"/>
        </w:trPr>
        <w:tc>
          <w:tcPr>
            <w:tcW w:w="2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loans subject to risk rating</w:t>
            </w: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1,842,890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1,294,460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2,578,061</w:t>
            </w: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1,215,971</w:t>
            </w: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726,463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877,323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1,206,427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39,514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9,781,109</w:t>
            </w:r>
          </w:p>
        </w:tc>
        <w:tc>
          <w:tcPr>
            <w:tcW w:w="0" w:type="dxa"/>
            <w:vAlign w:val="bottom"/>
          </w:tcPr>
          <w:p>
            <w:pPr>
              <w:spacing w:after="0"/>
              <w:rPr>
                <w:sz w:val="1"/>
                <w:szCs w:val="1"/>
                <w:color w:val="auto"/>
              </w:rPr>
            </w:pPr>
          </w:p>
        </w:tc>
      </w:tr>
      <w:tr>
        <w:trPr>
          <w:trHeight w:val="190"/>
        </w:trPr>
        <w:tc>
          <w:tcPr>
            <w:tcW w:w="27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1,811,606</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1,262,176</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2,449,505</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1,204,237</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718,008</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814,591</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1,175,583</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31,028</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9,466,734</w:t>
            </w:r>
          </w:p>
        </w:tc>
        <w:tc>
          <w:tcPr>
            <w:tcW w:w="0" w:type="dxa"/>
            <w:vAlign w:val="bottom"/>
          </w:tcPr>
          <w:p>
            <w:pPr>
              <w:spacing w:after="0"/>
              <w:rPr>
                <w:sz w:val="1"/>
                <w:szCs w:val="1"/>
                <w:color w:val="auto"/>
              </w:rPr>
            </w:pPr>
          </w:p>
        </w:tc>
      </w:tr>
      <w:tr>
        <w:trPr>
          <w:trHeight w:val="205"/>
        </w:trPr>
        <w:tc>
          <w:tcPr>
            <w:tcW w:w="2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8,978</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16,152</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83,637</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2,162</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2,596</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10,350</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7,006</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130,881</w:t>
            </w:r>
          </w:p>
        </w:tc>
        <w:tc>
          <w:tcPr>
            <w:tcW w:w="0" w:type="dxa"/>
            <w:vAlign w:val="bottom"/>
          </w:tcPr>
          <w:p>
            <w:pPr>
              <w:spacing w:after="0"/>
              <w:rPr>
                <w:sz w:val="1"/>
                <w:szCs w:val="1"/>
                <w:color w:val="auto"/>
              </w:rPr>
            </w:pPr>
          </w:p>
        </w:tc>
      </w:tr>
      <w:tr>
        <w:trPr>
          <w:trHeight w:val="190"/>
        </w:trPr>
        <w:tc>
          <w:tcPr>
            <w:tcW w:w="27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Classified</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22,306</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16,132</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44,919</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9,572</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5,859</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52,382</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23,838</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8,486</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183,494</w:t>
            </w:r>
          </w:p>
        </w:tc>
        <w:tc>
          <w:tcPr>
            <w:tcW w:w="0" w:type="dxa"/>
            <w:vAlign w:val="bottom"/>
          </w:tcPr>
          <w:p>
            <w:pPr>
              <w:spacing w:after="0"/>
              <w:rPr>
                <w:sz w:val="1"/>
                <w:szCs w:val="1"/>
                <w:color w:val="auto"/>
              </w:rPr>
            </w:pPr>
          </w:p>
        </w:tc>
      </w:tr>
      <w:tr>
        <w:trPr>
          <w:trHeight w:val="112"/>
        </w:trPr>
        <w:tc>
          <w:tcPr>
            <w:tcW w:w="27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8,766</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11,091</w:t>
            </w:r>
          </w:p>
        </w:tc>
        <w:tc>
          <w:tcPr>
            <w:tcW w:w="0" w:type="dxa"/>
            <w:vAlign w:val="bottom"/>
          </w:tcPr>
          <w:p>
            <w:pPr>
              <w:spacing w:after="0"/>
              <w:rPr>
                <w:sz w:val="1"/>
                <w:szCs w:val="1"/>
                <w:color w:val="auto"/>
              </w:rPr>
            </w:pPr>
          </w:p>
        </w:tc>
      </w:tr>
      <w:tr>
        <w:trPr>
          <w:trHeight w:val="112"/>
        </w:trPr>
        <w:tc>
          <w:tcPr>
            <w:tcW w:w="27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tables  present</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the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performing</w:t>
            </w:r>
          </w:p>
        </w:tc>
        <w:tc>
          <w:tcPr>
            <w:tcW w:w="100" w:type="dxa"/>
            <w:vAlign w:val="bottom"/>
          </w:tcPr>
          <w:p>
            <w:pPr>
              <w:spacing w:after="0"/>
              <w:rPr>
                <w:sz w:val="19"/>
                <w:szCs w:val="19"/>
                <w:color w:val="auto"/>
              </w:rPr>
            </w:pPr>
          </w:p>
        </w:tc>
        <w:tc>
          <w:tcPr>
            <w:tcW w:w="82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status  of</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the</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Company’s</w:t>
            </w:r>
          </w:p>
        </w:tc>
        <w:tc>
          <w:tcPr>
            <w:tcW w:w="28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loan  portfolio  not  subject  to  risk</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rating  as</w:t>
            </w: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of  the  dates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presented:</w:t>
            </w:r>
          </w:p>
        </w:tc>
        <w:tc>
          <w:tcPr>
            <w:tcW w:w="0" w:type="dxa"/>
            <w:vAlign w:val="bottom"/>
          </w:tcPr>
          <w:p>
            <w:pPr>
              <w:spacing w:after="0"/>
              <w:rPr>
                <w:sz w:val="1"/>
                <w:szCs w:val="1"/>
                <w:color w:val="auto"/>
              </w:rPr>
            </w:pPr>
          </w:p>
        </w:tc>
      </w:tr>
      <w:tr>
        <w:trPr>
          <w:trHeight w:val="201"/>
        </w:trPr>
        <w:tc>
          <w:tcPr>
            <w:tcW w:w="2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80" w:type="dxa"/>
            <w:vAlign w:val="bottom"/>
            <w:gridSpan w:val="7"/>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Term Loans Amortized Cost Basis by Origination Year</w:t>
            </w: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Revolving</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10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Loans</w:t>
            </w:r>
          </w:p>
        </w:tc>
        <w:tc>
          <w:tcPr>
            <w:tcW w:w="200" w:type="dxa"/>
            <w:vAlign w:val="bottom"/>
          </w:tcPr>
          <w:p>
            <w:pPr>
              <w:spacing w:after="0"/>
              <w:rPr>
                <w:sz w:val="12"/>
                <w:szCs w:val="12"/>
                <w:color w:val="auto"/>
              </w:rPr>
            </w:pPr>
          </w:p>
        </w:tc>
        <w:tc>
          <w:tcPr>
            <w:tcW w:w="800" w:type="dxa"/>
            <w:vAlign w:val="bottom"/>
            <w:vMerge w:val="restart"/>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5"/>
        </w:trPr>
        <w:tc>
          <w:tcPr>
            <w:tcW w:w="2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82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66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720" w:type="dxa"/>
            <w:vAlign w:val="bottom"/>
            <w:vMerge w:val="restart"/>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70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2"/>
                <w:szCs w:val="12"/>
                <w:color w:val="auto"/>
              </w:rPr>
            </w:pPr>
          </w:p>
        </w:tc>
        <w:tc>
          <w:tcPr>
            <w:tcW w:w="74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Converted to</w:t>
            </w: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34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Loans</w:t>
            </w:r>
          </w:p>
        </w:tc>
        <w:tc>
          <w:tcPr>
            <w:tcW w:w="0" w:type="dxa"/>
            <w:vAlign w:val="bottom"/>
          </w:tcPr>
          <w:p>
            <w:pPr>
              <w:spacing w:after="0"/>
              <w:rPr>
                <w:sz w:val="1"/>
                <w:szCs w:val="1"/>
                <w:color w:val="auto"/>
              </w:rPr>
            </w:pPr>
          </w:p>
        </w:tc>
      </w:tr>
      <w:tr>
        <w:trPr>
          <w:trHeight w:val="183"/>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and industrial</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gridSpan w:val="2"/>
          </w:tcPr>
          <w:p>
            <w:pPr>
              <w:jc w:val="right"/>
              <w:ind w:right="85"/>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2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Performing Loans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23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Non-Performing Loans</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2"/>
        </w:trPr>
        <w:tc>
          <w:tcPr>
            <w:tcW w:w="23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2"/>
        </w:trPr>
        <w:tc>
          <w:tcPr>
            <w:tcW w:w="23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Construction and land development</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66,151</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33,823</w:t>
            </w:r>
          </w:p>
        </w:tc>
        <w:tc>
          <w:tcPr>
            <w:tcW w:w="300" w:type="dxa"/>
            <w:vAlign w:val="bottom"/>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20,283</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6,156</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10,321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3,943</w:t>
            </w: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507</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939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142,123</w:t>
            </w:r>
          </w:p>
        </w:tc>
        <w:tc>
          <w:tcPr>
            <w:tcW w:w="0" w:type="dxa"/>
            <w:vAlign w:val="bottom"/>
          </w:tcPr>
          <w:p>
            <w:pPr>
              <w:spacing w:after="0"/>
              <w:rPr>
                <w:sz w:val="1"/>
                <w:szCs w:val="1"/>
                <w:color w:val="auto"/>
              </w:rPr>
            </w:pPr>
          </w:p>
        </w:tc>
      </w:tr>
      <w:tr>
        <w:trPr>
          <w:trHeight w:val="204"/>
        </w:trPr>
        <w:tc>
          <w:tcPr>
            <w:tcW w:w="2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Residential</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54,380</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30,881</w:t>
            </w: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13,955</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1,265</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1,914</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103,709</w:t>
            </w:r>
          </w:p>
        </w:tc>
        <w:tc>
          <w:tcPr>
            <w:tcW w:w="0" w:type="dxa"/>
            <w:vAlign w:val="bottom"/>
          </w:tcPr>
          <w:p>
            <w:pPr>
              <w:spacing w:after="0"/>
              <w:rPr>
                <w:sz w:val="1"/>
                <w:szCs w:val="1"/>
                <w:color w:val="auto"/>
              </w:rPr>
            </w:pPr>
          </w:p>
        </w:tc>
      </w:tr>
      <w:tr>
        <w:trPr>
          <w:trHeight w:val="190"/>
        </w:trPr>
        <w:tc>
          <w:tcPr>
            <w:tcW w:w="23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Performing Loans</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54,380</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30,881</w:t>
            </w: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13,955</w:t>
            </w: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1,265</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1,914</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103,709</w:t>
            </w:r>
          </w:p>
        </w:tc>
        <w:tc>
          <w:tcPr>
            <w:tcW w:w="0" w:type="dxa"/>
            <w:vAlign w:val="bottom"/>
          </w:tcPr>
          <w:p>
            <w:pPr>
              <w:spacing w:after="0"/>
              <w:rPr>
                <w:sz w:val="1"/>
                <w:szCs w:val="1"/>
                <w:color w:val="auto"/>
              </w:rPr>
            </w:pPr>
          </w:p>
        </w:tc>
      </w:tr>
      <w:tr>
        <w:trPr>
          <w:trHeight w:val="205"/>
        </w:trPr>
        <w:tc>
          <w:tcPr>
            <w:tcW w:w="2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Non-Performing Loans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5"/>
        </w:trPr>
        <w:tc>
          <w:tcPr>
            <w:tcW w:w="2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5"/>
        </w:trPr>
        <w:tc>
          <w:tcPr>
            <w:tcW w:w="2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11,771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2,942</w:t>
            </w:r>
          </w:p>
        </w:tc>
        <w:tc>
          <w:tcPr>
            <w:tcW w:w="3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6,328</w:t>
            </w:r>
          </w:p>
        </w:tc>
        <w:tc>
          <w:tcPr>
            <w:tcW w:w="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4,891</w:t>
            </w: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3,943</w:t>
            </w:r>
          </w:p>
        </w:tc>
        <w:tc>
          <w:tcPr>
            <w:tcW w:w="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38,414</w:t>
            </w:r>
          </w:p>
        </w:tc>
        <w:tc>
          <w:tcPr>
            <w:tcW w:w="0" w:type="dxa"/>
            <w:vAlign w:val="bottom"/>
          </w:tcPr>
          <w:p>
            <w:pPr>
              <w:spacing w:after="0"/>
              <w:rPr>
                <w:sz w:val="1"/>
                <w:szCs w:val="1"/>
                <w:color w:val="auto"/>
              </w:rPr>
            </w:pPr>
          </w:p>
        </w:tc>
      </w:tr>
      <w:tr>
        <w:trPr>
          <w:trHeight w:val="190"/>
        </w:trPr>
        <w:tc>
          <w:tcPr>
            <w:tcW w:w="23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Performing Loans</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11,771</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2,921</w:t>
            </w: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6,247</w:t>
            </w: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4,744</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8,403</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3,932</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38,150</w:t>
            </w:r>
          </w:p>
        </w:tc>
        <w:tc>
          <w:tcPr>
            <w:tcW w:w="0" w:type="dxa"/>
            <w:vAlign w:val="bottom"/>
          </w:tcPr>
          <w:p>
            <w:pPr>
              <w:spacing w:after="0"/>
              <w:rPr>
                <w:sz w:val="1"/>
                <w:szCs w:val="1"/>
                <w:color w:val="auto"/>
              </w:rPr>
            </w:pPr>
          </w:p>
        </w:tc>
      </w:tr>
      <w:tr>
        <w:trPr>
          <w:trHeight w:val="205"/>
        </w:trPr>
        <w:tc>
          <w:tcPr>
            <w:tcW w:w="2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Non-Performing Loans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0" w:type="dxa"/>
            <w:vAlign w:val="bottom"/>
          </w:tcPr>
          <w:p>
            <w:pPr>
              <w:spacing w:after="0"/>
              <w:rPr>
                <w:sz w:val="1"/>
                <w:szCs w:val="1"/>
                <w:color w:val="auto"/>
              </w:rPr>
            </w:pPr>
          </w:p>
        </w:tc>
      </w:tr>
      <w:tr>
        <w:trPr>
          <w:trHeight w:val="145"/>
        </w:trPr>
        <w:tc>
          <w:tcPr>
            <w:tcW w:w="2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5"/>
        </w:trPr>
        <w:tc>
          <w:tcPr>
            <w:tcW w:w="2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Real Estate - 1-4 Family Mortgage</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333,353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213,474</w:t>
            </w:r>
          </w:p>
        </w:tc>
        <w:tc>
          <w:tcPr>
            <w:tcW w:w="3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345,975</w:t>
            </w:r>
          </w:p>
        </w:tc>
        <w:tc>
          <w:tcPr>
            <w:tcW w:w="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805,063</w:t>
            </w: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534,744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733,503</w:t>
            </w:r>
          </w:p>
        </w:tc>
        <w:tc>
          <w:tcPr>
            <w:tcW w:w="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609,124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15,049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3,590,285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Loans (continued)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gridSpan w:val="7"/>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Term Loans Amortized Cost Basis by Origination Year</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Revolving</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10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Loans</w:t>
            </w:r>
          </w:p>
        </w:tc>
        <w:tc>
          <w:tcPr>
            <w:tcW w:w="220" w:type="dxa"/>
            <w:vAlign w:val="bottom"/>
          </w:tcPr>
          <w:p>
            <w:pPr>
              <w:spacing w:after="0"/>
              <w:rPr>
                <w:sz w:val="12"/>
                <w:szCs w:val="12"/>
                <w:color w:val="auto"/>
              </w:rPr>
            </w:pPr>
          </w:p>
        </w:tc>
        <w:tc>
          <w:tcPr>
            <w:tcW w:w="780" w:type="dxa"/>
            <w:vAlign w:val="bottom"/>
            <w:vMerge w:val="restart"/>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5"/>
        </w:trPr>
        <w:tc>
          <w:tcPr>
            <w:tcW w:w="2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760" w:type="dxa"/>
            <w:vAlign w:val="bottom"/>
            <w:vMerge w:val="restart"/>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70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740" w:type="dxa"/>
            <w:vAlign w:val="bottom"/>
            <w:vMerge w:val="restart"/>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70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2"/>
                <w:szCs w:val="12"/>
                <w:color w:val="auto"/>
              </w:rPr>
            </w:pPr>
          </w:p>
        </w:tc>
        <w:tc>
          <w:tcPr>
            <w:tcW w:w="74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Converted to</w:t>
            </w: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6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0" w:type="dxa"/>
            <w:vAlign w:val="bottom"/>
          </w:tcPr>
          <w:p>
            <w:pPr>
              <w:spacing w:after="0"/>
              <w:rPr>
                <w:sz w:val="1"/>
                <w:szCs w:val="1"/>
                <w:color w:val="auto"/>
              </w:rPr>
            </w:pPr>
          </w:p>
        </w:tc>
      </w:tr>
      <w:tr>
        <w:trPr>
          <w:trHeight w:val="190"/>
        </w:trPr>
        <w:tc>
          <w:tcPr>
            <w:tcW w:w="2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First lien</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331,496</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209,270</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343,867</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801,481</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533,558</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727,798</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2,947,470</w:t>
            </w:r>
          </w:p>
        </w:tc>
        <w:tc>
          <w:tcPr>
            <w:tcW w:w="0" w:type="dxa"/>
            <w:vAlign w:val="bottom"/>
          </w:tcPr>
          <w:p>
            <w:pPr>
              <w:spacing w:after="0"/>
              <w:rPr>
                <w:sz w:val="1"/>
                <w:szCs w:val="1"/>
                <w:color w:val="auto"/>
              </w:rPr>
            </w:pPr>
          </w:p>
        </w:tc>
      </w:tr>
      <w:tr>
        <w:trPr>
          <w:trHeight w:val="205"/>
        </w:trPr>
        <w:tc>
          <w:tcPr>
            <w:tcW w:w="2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Performing Loans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329,942</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207,890</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335,040</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783,952</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528,690</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705,399</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2,890,913</w:t>
            </w:r>
          </w:p>
        </w:tc>
        <w:tc>
          <w:tcPr>
            <w:tcW w:w="0" w:type="dxa"/>
            <w:vAlign w:val="bottom"/>
          </w:tcPr>
          <w:p>
            <w:pPr>
              <w:spacing w:after="0"/>
              <w:rPr>
                <w:sz w:val="1"/>
                <w:szCs w:val="1"/>
                <w:color w:val="auto"/>
              </w:rPr>
            </w:pPr>
          </w:p>
        </w:tc>
      </w:tr>
      <w:tr>
        <w:trPr>
          <w:trHeight w:val="190"/>
        </w:trPr>
        <w:tc>
          <w:tcPr>
            <w:tcW w:w="2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Non-Performing Loans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1,554</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8,827</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17,529</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4,868</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22,399</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56,557</w:t>
            </w:r>
          </w:p>
        </w:tc>
        <w:tc>
          <w:tcPr>
            <w:tcW w:w="0" w:type="dxa"/>
            <w:vAlign w:val="bottom"/>
          </w:tcPr>
          <w:p>
            <w:pPr>
              <w:spacing w:after="0"/>
              <w:rPr>
                <w:sz w:val="1"/>
                <w:szCs w:val="1"/>
                <w:color w:val="auto"/>
              </w:rPr>
            </w:pPr>
          </w:p>
        </w:tc>
      </w:tr>
      <w:tr>
        <w:trPr>
          <w:trHeight w:val="152"/>
        </w:trPr>
        <w:tc>
          <w:tcPr>
            <w:tcW w:w="2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0" w:type="dxa"/>
            <w:vAlign w:val="bottom"/>
          </w:tcPr>
          <w:p>
            <w:pPr>
              <w:spacing w:after="0"/>
              <w:rPr>
                <w:sz w:val="1"/>
                <w:szCs w:val="1"/>
                <w:color w:val="auto"/>
              </w:rPr>
            </w:pPr>
          </w:p>
        </w:tc>
      </w:tr>
      <w:tr>
        <w:trPr>
          <w:trHeight w:val="152"/>
        </w:trPr>
        <w:tc>
          <w:tcPr>
            <w:tcW w:w="2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Junior lien</w:t>
            </w: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1,857</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1,745</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2,868</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3,445</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14,971</w:t>
            </w:r>
          </w:p>
        </w:tc>
        <w:tc>
          <w:tcPr>
            <w:tcW w:w="0" w:type="dxa"/>
            <w:vAlign w:val="bottom"/>
          </w:tcPr>
          <w:p>
            <w:pPr>
              <w:spacing w:after="0"/>
              <w:rPr>
                <w:sz w:val="1"/>
                <w:szCs w:val="1"/>
                <w:color w:val="auto"/>
              </w:rPr>
            </w:pPr>
          </w:p>
        </w:tc>
      </w:tr>
      <w:tr>
        <w:trPr>
          <w:trHeight w:val="205"/>
        </w:trPr>
        <w:tc>
          <w:tcPr>
            <w:tcW w:w="2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Performing Loans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1,857</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4,081</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1,689</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2,868</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3,050</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14,513</w:t>
            </w:r>
          </w:p>
        </w:tc>
        <w:tc>
          <w:tcPr>
            <w:tcW w:w="0" w:type="dxa"/>
            <w:vAlign w:val="bottom"/>
          </w:tcPr>
          <w:p>
            <w:pPr>
              <w:spacing w:after="0"/>
              <w:rPr>
                <w:sz w:val="1"/>
                <w:szCs w:val="1"/>
                <w:color w:val="auto"/>
              </w:rPr>
            </w:pPr>
          </w:p>
        </w:tc>
      </w:tr>
      <w:tr>
        <w:trPr>
          <w:trHeight w:val="190"/>
        </w:trPr>
        <w:tc>
          <w:tcPr>
            <w:tcW w:w="2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Non-Performing Loans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0" w:type="dxa"/>
            <w:vAlign w:val="bottom"/>
          </w:tcPr>
          <w:p>
            <w:pPr>
              <w:spacing w:after="0"/>
              <w:rPr>
                <w:sz w:val="1"/>
                <w:szCs w:val="1"/>
                <w:color w:val="auto"/>
              </w:rPr>
            </w:pPr>
          </w:p>
        </w:tc>
      </w:tr>
      <w:tr>
        <w:trPr>
          <w:trHeight w:val="152"/>
        </w:trPr>
        <w:tc>
          <w:tcPr>
            <w:tcW w:w="2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52"/>
        </w:trPr>
        <w:tc>
          <w:tcPr>
            <w:tcW w:w="2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Home equity</w:t>
            </w: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609,124</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15,049</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627,844</w:t>
            </w:r>
          </w:p>
        </w:tc>
        <w:tc>
          <w:tcPr>
            <w:tcW w:w="0" w:type="dxa"/>
            <w:vAlign w:val="bottom"/>
          </w:tcPr>
          <w:p>
            <w:pPr>
              <w:spacing w:after="0"/>
              <w:rPr>
                <w:sz w:val="1"/>
                <w:szCs w:val="1"/>
                <w:color w:val="auto"/>
              </w:rPr>
            </w:pPr>
          </w:p>
        </w:tc>
      </w:tr>
      <w:tr>
        <w:trPr>
          <w:trHeight w:val="205"/>
        </w:trPr>
        <w:tc>
          <w:tcPr>
            <w:tcW w:w="2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Performing Loans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1,960</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608,808</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13,334</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625,334</w:t>
            </w:r>
          </w:p>
        </w:tc>
        <w:tc>
          <w:tcPr>
            <w:tcW w:w="0" w:type="dxa"/>
            <w:vAlign w:val="bottom"/>
          </w:tcPr>
          <w:p>
            <w:pPr>
              <w:spacing w:after="0"/>
              <w:rPr>
                <w:sz w:val="1"/>
                <w:szCs w:val="1"/>
                <w:color w:val="auto"/>
              </w:rPr>
            </w:pPr>
          </w:p>
        </w:tc>
      </w:tr>
      <w:tr>
        <w:trPr>
          <w:trHeight w:val="190"/>
        </w:trPr>
        <w:tc>
          <w:tcPr>
            <w:tcW w:w="2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Non-Performing Loans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1,715</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2,510</w:t>
            </w:r>
          </w:p>
        </w:tc>
        <w:tc>
          <w:tcPr>
            <w:tcW w:w="0" w:type="dxa"/>
            <w:vAlign w:val="bottom"/>
          </w:tcPr>
          <w:p>
            <w:pPr>
              <w:spacing w:after="0"/>
              <w:rPr>
                <w:sz w:val="1"/>
                <w:szCs w:val="1"/>
                <w:color w:val="auto"/>
              </w:rPr>
            </w:pPr>
          </w:p>
        </w:tc>
      </w:tr>
      <w:tr>
        <w:trPr>
          <w:trHeight w:val="152"/>
        </w:trPr>
        <w:tc>
          <w:tcPr>
            <w:tcW w:w="2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0" w:type="dxa"/>
            <w:vAlign w:val="bottom"/>
          </w:tcPr>
          <w:p>
            <w:pPr>
              <w:spacing w:after="0"/>
              <w:rPr>
                <w:sz w:val="1"/>
                <w:szCs w:val="1"/>
                <w:color w:val="auto"/>
              </w:rPr>
            </w:pPr>
          </w:p>
        </w:tc>
      </w:tr>
      <w:tr>
        <w:trPr>
          <w:trHeight w:val="152"/>
        </w:trPr>
        <w:tc>
          <w:tcPr>
            <w:tcW w:w="2800" w:type="dxa"/>
            <w:vAlign w:val="bottom"/>
            <w:gridSpan w:val="2"/>
            <w:shd w:val="clear" w:color="auto" w:fill="CCEEFF"/>
          </w:tcPr>
          <w:p>
            <w:pPr>
              <w:spacing w:after="0"/>
              <w:rPr>
                <w:sz w:val="13"/>
                <w:szCs w:val="13"/>
                <w:color w:val="auto"/>
              </w:rPr>
            </w:pPr>
          </w:p>
        </w:tc>
        <w:tc>
          <w:tcPr>
            <w:tcW w:w="920" w:type="dxa"/>
            <w:vAlign w:val="bottom"/>
            <w:gridSpan w:val="2"/>
            <w:shd w:val="clear" w:color="auto" w:fill="CCEEFF"/>
          </w:tcPr>
          <w:p>
            <w:pPr>
              <w:spacing w:after="0"/>
              <w:rPr>
                <w:sz w:val="13"/>
                <w:szCs w:val="13"/>
                <w:color w:val="auto"/>
              </w:rPr>
            </w:pPr>
          </w:p>
        </w:tc>
        <w:tc>
          <w:tcPr>
            <w:tcW w:w="1000" w:type="dxa"/>
            <w:vAlign w:val="bottom"/>
            <w:gridSpan w:val="2"/>
            <w:shd w:val="clear" w:color="auto" w:fill="CCEEFF"/>
          </w:tcPr>
          <w:p>
            <w:pPr>
              <w:spacing w:after="0"/>
              <w:rPr>
                <w:sz w:val="13"/>
                <w:szCs w:val="13"/>
                <w:color w:val="auto"/>
              </w:rPr>
            </w:pPr>
          </w:p>
        </w:tc>
        <w:tc>
          <w:tcPr>
            <w:tcW w:w="940" w:type="dxa"/>
            <w:vAlign w:val="bottom"/>
            <w:gridSpan w:val="2"/>
            <w:shd w:val="clear" w:color="auto" w:fill="CCEEFF"/>
          </w:tcPr>
          <w:p>
            <w:pPr>
              <w:spacing w:after="0"/>
              <w:rPr>
                <w:sz w:val="13"/>
                <w:szCs w:val="13"/>
                <w:color w:val="auto"/>
              </w:rPr>
            </w:pPr>
          </w:p>
        </w:tc>
        <w:tc>
          <w:tcPr>
            <w:tcW w:w="960" w:type="dxa"/>
            <w:vAlign w:val="bottom"/>
            <w:gridSpan w:val="2"/>
            <w:shd w:val="clear" w:color="auto" w:fill="CCEEFF"/>
          </w:tcPr>
          <w:p>
            <w:pPr>
              <w:spacing w:after="0"/>
              <w:rPr>
                <w:sz w:val="13"/>
                <w:szCs w:val="13"/>
                <w:color w:val="auto"/>
              </w:rPr>
            </w:pPr>
          </w:p>
        </w:tc>
        <w:tc>
          <w:tcPr>
            <w:tcW w:w="940" w:type="dxa"/>
            <w:vAlign w:val="bottom"/>
            <w:gridSpan w:val="2"/>
            <w:shd w:val="clear" w:color="auto" w:fill="CCEEFF"/>
          </w:tcPr>
          <w:p>
            <w:pPr>
              <w:spacing w:after="0"/>
              <w:rPr>
                <w:sz w:val="13"/>
                <w:szCs w:val="13"/>
                <w:color w:val="auto"/>
              </w:rPr>
            </w:pPr>
          </w:p>
        </w:tc>
        <w:tc>
          <w:tcPr>
            <w:tcW w:w="900" w:type="dxa"/>
            <w:vAlign w:val="bottom"/>
            <w:gridSpan w:val="2"/>
            <w:shd w:val="clear" w:color="auto" w:fill="CCEEFF"/>
          </w:tcPr>
          <w:p>
            <w:pPr>
              <w:spacing w:after="0"/>
              <w:rPr>
                <w:sz w:val="13"/>
                <w:szCs w:val="13"/>
                <w:color w:val="auto"/>
              </w:rPr>
            </w:pPr>
          </w:p>
        </w:tc>
        <w:tc>
          <w:tcPr>
            <w:tcW w:w="920" w:type="dxa"/>
            <w:vAlign w:val="bottom"/>
            <w:gridSpan w:val="2"/>
            <w:shd w:val="clear" w:color="auto" w:fill="CCEEFF"/>
          </w:tcPr>
          <w:p>
            <w:pPr>
              <w:spacing w:after="0"/>
              <w:rPr>
                <w:sz w:val="13"/>
                <w:szCs w:val="13"/>
                <w:color w:val="auto"/>
              </w:rPr>
            </w:pPr>
          </w:p>
        </w:tc>
        <w:tc>
          <w:tcPr>
            <w:tcW w:w="1080" w:type="dxa"/>
            <w:vAlign w:val="bottom"/>
            <w:gridSpan w:val="2"/>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8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Commercial real estate - owner occupied $</w:t>
            </w:r>
          </w:p>
        </w:tc>
        <w:tc>
          <w:tcPr>
            <w:tcW w:w="92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 $</w:t>
            </w:r>
          </w:p>
        </w:tc>
        <w:tc>
          <w:tcPr>
            <w:tcW w:w="100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 $</w:t>
            </w:r>
          </w:p>
        </w:tc>
        <w:tc>
          <w:tcPr>
            <w:tcW w:w="94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 $</w:t>
            </w:r>
          </w:p>
        </w:tc>
        <w:tc>
          <w:tcPr>
            <w:tcW w:w="96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 $</w:t>
            </w:r>
          </w:p>
        </w:tc>
        <w:tc>
          <w:tcPr>
            <w:tcW w:w="94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0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4"/>
        </w:trPr>
        <w:tc>
          <w:tcPr>
            <w:tcW w:w="2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Performing Loans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2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Non-Performing Loans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2"/>
        </w:trPr>
        <w:tc>
          <w:tcPr>
            <w:tcW w:w="2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2"/>
        </w:trPr>
        <w:tc>
          <w:tcPr>
            <w:tcW w:w="2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600" w:type="dxa"/>
            <w:vAlign w:val="bottom"/>
          </w:tcPr>
          <w:p>
            <w:pPr>
              <w:ind w:left="140"/>
              <w:spacing w:after="0" w:line="133" w:lineRule="exact"/>
              <w:rPr>
                <w:sz w:val="20"/>
                <w:szCs w:val="20"/>
                <w:color w:val="auto"/>
              </w:rPr>
            </w:pPr>
            <w:r>
              <w:rPr>
                <w:rFonts w:ascii="Times New Roman" w:cs="Times New Roman" w:eastAsia="Times New Roman" w:hAnsi="Times New Roman"/>
                <w:sz w:val="14"/>
                <w:szCs w:val="14"/>
                <w:b w:val="1"/>
                <w:bCs w:val="1"/>
                <w:color w:val="auto"/>
              </w:rPr>
              <w:t>Commercial real estate - non owner</w:t>
            </w:r>
          </w:p>
        </w:tc>
        <w:tc>
          <w:tcPr>
            <w:tcW w:w="20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 $</w:t>
            </w:r>
          </w:p>
        </w:tc>
        <w:tc>
          <w:tcPr>
            <w:tcW w:w="100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 $</w:t>
            </w:r>
          </w:p>
        </w:tc>
        <w:tc>
          <w:tcPr>
            <w:tcW w:w="94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 $</w:t>
            </w:r>
          </w:p>
        </w:tc>
        <w:tc>
          <w:tcPr>
            <w:tcW w:w="96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 $</w:t>
            </w:r>
          </w:p>
        </w:tc>
        <w:tc>
          <w:tcPr>
            <w:tcW w:w="94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 $</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08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 $</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26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occupied</w:t>
            </w:r>
          </w:p>
        </w:tc>
        <w:tc>
          <w:tcPr>
            <w:tcW w:w="20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Multi family</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2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Performing Loans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2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Non-Performing Loans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5"/>
        </w:trPr>
        <w:tc>
          <w:tcPr>
            <w:tcW w:w="2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5"/>
        </w:trPr>
        <w:tc>
          <w:tcPr>
            <w:tcW w:w="2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spacing w:after="0"/>
              <w:rPr>
                <w:sz w:val="12"/>
                <w:szCs w:val="12"/>
                <w:color w:val="auto"/>
              </w:rPr>
            </w:pPr>
          </w:p>
        </w:tc>
        <w:tc>
          <w:tcPr>
            <w:tcW w:w="1000" w:type="dxa"/>
            <w:vAlign w:val="bottom"/>
            <w:gridSpan w:val="2"/>
          </w:tcPr>
          <w:p>
            <w:pPr>
              <w:spacing w:after="0"/>
              <w:rPr>
                <w:sz w:val="12"/>
                <w:szCs w:val="12"/>
                <w:color w:val="auto"/>
              </w:rPr>
            </w:pPr>
          </w:p>
        </w:tc>
        <w:tc>
          <w:tcPr>
            <w:tcW w:w="940" w:type="dxa"/>
            <w:vAlign w:val="bottom"/>
            <w:gridSpan w:val="2"/>
          </w:tcPr>
          <w:p>
            <w:pPr>
              <w:spacing w:after="0"/>
              <w:rPr>
                <w:sz w:val="12"/>
                <w:szCs w:val="12"/>
                <w:color w:val="auto"/>
              </w:rPr>
            </w:pPr>
          </w:p>
        </w:tc>
        <w:tc>
          <w:tcPr>
            <w:tcW w:w="960" w:type="dxa"/>
            <w:vAlign w:val="bottom"/>
            <w:gridSpan w:val="2"/>
          </w:tcPr>
          <w:p>
            <w:pPr>
              <w:spacing w:after="0"/>
              <w:rPr>
                <w:sz w:val="12"/>
                <w:szCs w:val="12"/>
                <w:color w:val="auto"/>
              </w:rPr>
            </w:pPr>
          </w:p>
        </w:tc>
        <w:tc>
          <w:tcPr>
            <w:tcW w:w="940" w:type="dxa"/>
            <w:vAlign w:val="bottom"/>
            <w:gridSpan w:val="2"/>
          </w:tcPr>
          <w:p>
            <w:pPr>
              <w:spacing w:after="0"/>
              <w:rPr>
                <w:sz w:val="12"/>
                <w:szCs w:val="12"/>
                <w:color w:val="auto"/>
              </w:rPr>
            </w:pPr>
          </w:p>
        </w:tc>
        <w:tc>
          <w:tcPr>
            <w:tcW w:w="900" w:type="dxa"/>
            <w:vAlign w:val="bottom"/>
            <w:gridSpan w:val="2"/>
          </w:tcPr>
          <w:p>
            <w:pPr>
              <w:spacing w:after="0"/>
              <w:rPr>
                <w:sz w:val="12"/>
                <w:szCs w:val="12"/>
                <w:color w:val="auto"/>
              </w:rPr>
            </w:pPr>
          </w:p>
        </w:tc>
        <w:tc>
          <w:tcPr>
            <w:tcW w:w="920" w:type="dxa"/>
            <w:vAlign w:val="bottom"/>
            <w:gridSpan w:val="2"/>
          </w:tcPr>
          <w:p>
            <w:pPr>
              <w:spacing w:after="0"/>
              <w:rPr>
                <w:sz w:val="12"/>
                <w:szCs w:val="12"/>
                <w:color w:val="auto"/>
              </w:rPr>
            </w:pPr>
          </w:p>
        </w:tc>
        <w:tc>
          <w:tcPr>
            <w:tcW w:w="1080" w:type="dxa"/>
            <w:vAlign w:val="bottom"/>
            <w:gridSpan w:val="2"/>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2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Performing Loans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2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Non-Performing Loans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5"/>
        </w:trPr>
        <w:tc>
          <w:tcPr>
            <w:tcW w:w="2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5"/>
        </w:trPr>
        <w:tc>
          <w:tcPr>
            <w:tcW w:w="2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40,081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15,374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9,009</w:t>
            </w:r>
          </w:p>
        </w:tc>
        <w:tc>
          <w:tcPr>
            <w:tcW w:w="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6,276</w:t>
            </w: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21,877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107,898</w:t>
            </w:r>
          </w:p>
        </w:tc>
        <w:tc>
          <w:tcPr>
            <w:tcW w:w="0" w:type="dxa"/>
            <w:vAlign w:val="bottom"/>
          </w:tcPr>
          <w:p>
            <w:pPr>
              <w:spacing w:after="0"/>
              <w:rPr>
                <w:sz w:val="1"/>
                <w:szCs w:val="1"/>
                <w:color w:val="auto"/>
              </w:rPr>
            </w:pPr>
          </w:p>
        </w:tc>
      </w:tr>
      <w:tr>
        <w:trPr>
          <w:trHeight w:val="190"/>
        </w:trPr>
        <w:tc>
          <w:tcPr>
            <w:tcW w:w="2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Performing Loans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40,079</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15,371</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9,006</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6,238</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3,636</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11,376</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21,874</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107,743</w:t>
            </w:r>
          </w:p>
        </w:tc>
        <w:tc>
          <w:tcPr>
            <w:tcW w:w="0" w:type="dxa"/>
            <w:vAlign w:val="bottom"/>
          </w:tcPr>
          <w:p>
            <w:pPr>
              <w:spacing w:after="0"/>
              <w:rPr>
                <w:sz w:val="1"/>
                <w:szCs w:val="1"/>
                <w:color w:val="auto"/>
              </w:rPr>
            </w:pPr>
          </w:p>
        </w:tc>
      </w:tr>
      <w:tr>
        <w:trPr>
          <w:trHeight w:val="205"/>
        </w:trPr>
        <w:tc>
          <w:tcPr>
            <w:tcW w:w="2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Non-Performing Loans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145"/>
        </w:trPr>
        <w:tc>
          <w:tcPr>
            <w:tcW w:w="2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1,524</w:t>
            </w:r>
          </w:p>
        </w:tc>
        <w:tc>
          <w:tcPr>
            <w:tcW w:w="0" w:type="dxa"/>
            <w:vAlign w:val="bottom"/>
          </w:tcPr>
          <w:p>
            <w:pPr>
              <w:spacing w:after="0"/>
              <w:rPr>
                <w:sz w:val="1"/>
                <w:szCs w:val="1"/>
                <w:color w:val="auto"/>
              </w:rPr>
            </w:pPr>
          </w:p>
        </w:tc>
      </w:tr>
      <w:tr>
        <w:trPr>
          <w:trHeight w:val="145"/>
        </w:trPr>
        <w:tc>
          <w:tcPr>
            <w:tcW w:w="2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loans not subject to risk rating</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439,585</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262,671</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375,267</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817,495</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548,701</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748,928</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631,508</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16,151</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3,840,306</w:t>
            </w:r>
          </w:p>
        </w:tc>
        <w:tc>
          <w:tcPr>
            <w:tcW w:w="0" w:type="dxa"/>
            <w:vAlign w:val="bottom"/>
          </w:tcPr>
          <w:p>
            <w:pPr>
              <w:spacing w:after="0"/>
              <w:rPr>
                <w:sz w:val="1"/>
                <w:szCs w:val="1"/>
                <w:color w:val="auto"/>
              </w:rPr>
            </w:pPr>
          </w:p>
        </w:tc>
      </w:tr>
      <w:tr>
        <w:trPr>
          <w:trHeight w:val="190"/>
        </w:trPr>
        <w:tc>
          <w:tcPr>
            <w:tcW w:w="2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Performing Loans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438,029</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261,260</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366,121</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799,781</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543,829</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725,717</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631,189</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14,436</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3,780,362</w:t>
            </w:r>
          </w:p>
        </w:tc>
        <w:tc>
          <w:tcPr>
            <w:tcW w:w="0" w:type="dxa"/>
            <w:vAlign w:val="bottom"/>
          </w:tcPr>
          <w:p>
            <w:pPr>
              <w:spacing w:after="0"/>
              <w:rPr>
                <w:sz w:val="1"/>
                <w:szCs w:val="1"/>
                <w:color w:val="auto"/>
              </w:rPr>
            </w:pPr>
          </w:p>
        </w:tc>
      </w:tr>
      <w:tr>
        <w:trPr>
          <w:trHeight w:val="205"/>
        </w:trPr>
        <w:tc>
          <w:tcPr>
            <w:tcW w:w="2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Non-Performing Loans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1,556</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9,146</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17,714</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4,872</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23,211</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1,715</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59,944</w:t>
            </w:r>
          </w:p>
        </w:tc>
        <w:tc>
          <w:tcPr>
            <w:tcW w:w="0" w:type="dxa"/>
            <w:vAlign w:val="bottom"/>
          </w:tcPr>
          <w:p>
            <w:pPr>
              <w:spacing w:after="0"/>
              <w:rPr>
                <w:sz w:val="1"/>
                <w:szCs w:val="1"/>
                <w:color w:val="auto"/>
              </w:rPr>
            </w:pPr>
          </w:p>
        </w:tc>
      </w:tr>
      <w:tr>
        <w:trPr>
          <w:trHeight w:val="145"/>
        </w:trPr>
        <w:tc>
          <w:tcPr>
            <w:tcW w:w="2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2,040</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Term Loans Amortized Cost Basis by Origination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1649730</wp:posOffset>
            </wp:positionH>
            <wp:positionV relativeFrom="paragraph">
              <wp:posOffset>30480</wp:posOffset>
            </wp:positionV>
            <wp:extent cx="548957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489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Loans (continued)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6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Revolving</w:t>
            </w: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10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Loans</w:t>
            </w:r>
          </w:p>
        </w:tc>
        <w:tc>
          <w:tcPr>
            <w:tcW w:w="220" w:type="dxa"/>
            <w:vAlign w:val="bottom"/>
          </w:tcPr>
          <w:p>
            <w:pPr>
              <w:spacing w:after="0"/>
              <w:rPr>
                <w:sz w:val="12"/>
                <w:szCs w:val="12"/>
                <w:color w:val="auto"/>
              </w:rPr>
            </w:pPr>
          </w:p>
        </w:tc>
        <w:tc>
          <w:tcPr>
            <w:tcW w:w="780" w:type="dxa"/>
            <w:vAlign w:val="bottom"/>
            <w:vMerge w:val="restart"/>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5"/>
        </w:trPr>
        <w:tc>
          <w:tcPr>
            <w:tcW w:w="2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740" w:type="dxa"/>
            <w:vAlign w:val="bottom"/>
            <w:vMerge w:val="restart"/>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70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2"/>
                <w:szCs w:val="12"/>
                <w:color w:val="auto"/>
              </w:rPr>
            </w:pPr>
          </w:p>
        </w:tc>
        <w:tc>
          <w:tcPr>
            <w:tcW w:w="740" w:type="dxa"/>
            <w:vAlign w:val="bottom"/>
            <w:vMerge w:val="restart"/>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2"/>
                <w:szCs w:val="12"/>
                <w:color w:val="auto"/>
              </w:rPr>
            </w:pPr>
          </w:p>
        </w:tc>
        <w:tc>
          <w:tcPr>
            <w:tcW w:w="70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2"/>
                <w:szCs w:val="12"/>
                <w:color w:val="auto"/>
              </w:rPr>
            </w:pPr>
          </w:p>
        </w:tc>
        <w:tc>
          <w:tcPr>
            <w:tcW w:w="74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Converted to</w:t>
            </w: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6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0" w:type="dxa"/>
            <w:vAlign w:val="bottom"/>
          </w:tcPr>
          <w:p>
            <w:pPr>
              <w:spacing w:after="0"/>
              <w:rPr>
                <w:sz w:val="1"/>
                <w:szCs w:val="1"/>
                <w:color w:val="auto"/>
              </w:rPr>
            </w:pPr>
          </w:p>
        </w:tc>
      </w:tr>
      <w:tr>
        <w:trPr>
          <w:trHeight w:val="183"/>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and industrial</w:t>
            </w: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 $</w:t>
            </w:r>
          </w:p>
        </w:tc>
        <w:tc>
          <w:tcPr>
            <w:tcW w:w="98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 $</w:t>
            </w:r>
          </w:p>
        </w:tc>
        <w:tc>
          <w:tcPr>
            <w:tcW w:w="94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 $</w:t>
            </w:r>
          </w:p>
        </w:tc>
        <w:tc>
          <w:tcPr>
            <w:tcW w:w="96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 $</w:t>
            </w:r>
          </w:p>
        </w:tc>
        <w:tc>
          <w:tcPr>
            <w:tcW w:w="94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20,173</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0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20,173</w:t>
            </w:r>
          </w:p>
        </w:tc>
        <w:tc>
          <w:tcPr>
            <w:tcW w:w="0" w:type="dxa"/>
            <w:vAlign w:val="bottom"/>
          </w:tcPr>
          <w:p>
            <w:pPr>
              <w:spacing w:after="0"/>
              <w:rPr>
                <w:sz w:val="1"/>
                <w:szCs w:val="1"/>
                <w:color w:val="auto"/>
              </w:rPr>
            </w:pPr>
          </w:p>
        </w:tc>
      </w:tr>
      <w:tr>
        <w:trPr>
          <w:trHeight w:val="204"/>
        </w:trPr>
        <w:tc>
          <w:tcPr>
            <w:tcW w:w="2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Performing Loans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20,173</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20,173</w:t>
            </w:r>
          </w:p>
        </w:tc>
        <w:tc>
          <w:tcPr>
            <w:tcW w:w="0" w:type="dxa"/>
            <w:vAlign w:val="bottom"/>
          </w:tcPr>
          <w:p>
            <w:pPr>
              <w:spacing w:after="0"/>
              <w:rPr>
                <w:sz w:val="1"/>
                <w:szCs w:val="1"/>
                <w:color w:val="auto"/>
              </w:rPr>
            </w:pPr>
          </w:p>
        </w:tc>
      </w:tr>
      <w:tr>
        <w:trPr>
          <w:trHeight w:val="190"/>
        </w:trPr>
        <w:tc>
          <w:tcPr>
            <w:tcW w:w="26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Non-Performing Loans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2"/>
        </w:trPr>
        <w:tc>
          <w:tcPr>
            <w:tcW w:w="2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2"/>
        </w:trPr>
        <w:tc>
          <w:tcPr>
            <w:tcW w:w="2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Construction and land development</w:t>
            </w: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42,092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27,581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14,467</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5,872</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482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108</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92,886</w:t>
            </w:r>
          </w:p>
        </w:tc>
        <w:tc>
          <w:tcPr>
            <w:tcW w:w="0" w:type="dxa"/>
            <w:vAlign w:val="bottom"/>
          </w:tcPr>
          <w:p>
            <w:pPr>
              <w:spacing w:after="0"/>
              <w:rPr>
                <w:sz w:val="1"/>
                <w:szCs w:val="1"/>
                <w:color w:val="auto"/>
              </w:rPr>
            </w:pPr>
          </w:p>
        </w:tc>
      </w:tr>
      <w:tr>
        <w:trPr>
          <w:trHeight w:val="204"/>
        </w:trPr>
        <w:tc>
          <w:tcPr>
            <w:tcW w:w="2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Residential</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37,714</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23,301</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11,210</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2,056</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74,655</w:t>
            </w:r>
          </w:p>
        </w:tc>
        <w:tc>
          <w:tcPr>
            <w:tcW w:w="0" w:type="dxa"/>
            <w:vAlign w:val="bottom"/>
          </w:tcPr>
          <w:p>
            <w:pPr>
              <w:spacing w:after="0"/>
              <w:rPr>
                <w:sz w:val="1"/>
                <w:szCs w:val="1"/>
                <w:color w:val="auto"/>
              </w:rPr>
            </w:pPr>
          </w:p>
        </w:tc>
      </w:tr>
      <w:tr>
        <w:trPr>
          <w:trHeight w:val="190"/>
        </w:trPr>
        <w:tc>
          <w:tcPr>
            <w:tcW w:w="26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Performing Loans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37,514</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23,301</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11,210</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2,056</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74,455</w:t>
            </w:r>
          </w:p>
        </w:tc>
        <w:tc>
          <w:tcPr>
            <w:tcW w:w="0" w:type="dxa"/>
            <w:vAlign w:val="bottom"/>
          </w:tcPr>
          <w:p>
            <w:pPr>
              <w:spacing w:after="0"/>
              <w:rPr>
                <w:sz w:val="1"/>
                <w:szCs w:val="1"/>
                <w:color w:val="auto"/>
              </w:rPr>
            </w:pPr>
          </w:p>
        </w:tc>
      </w:tr>
      <w:tr>
        <w:trPr>
          <w:trHeight w:val="205"/>
        </w:trPr>
        <w:tc>
          <w:tcPr>
            <w:tcW w:w="2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Non-Performing Loans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45"/>
        </w:trPr>
        <w:tc>
          <w:tcPr>
            <w:tcW w:w="2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5"/>
        </w:trPr>
        <w:tc>
          <w:tcPr>
            <w:tcW w:w="2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3,257</w:t>
            </w:r>
          </w:p>
        </w:tc>
        <w:tc>
          <w:tcPr>
            <w:tcW w:w="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3,816</w:t>
            </w: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18,231</w:t>
            </w:r>
          </w:p>
        </w:tc>
        <w:tc>
          <w:tcPr>
            <w:tcW w:w="0" w:type="dxa"/>
            <w:vAlign w:val="bottom"/>
          </w:tcPr>
          <w:p>
            <w:pPr>
              <w:spacing w:after="0"/>
              <w:rPr>
                <w:sz w:val="1"/>
                <w:szCs w:val="1"/>
                <w:color w:val="auto"/>
              </w:rPr>
            </w:pPr>
          </w:p>
        </w:tc>
      </w:tr>
      <w:tr>
        <w:trPr>
          <w:trHeight w:val="190"/>
        </w:trPr>
        <w:tc>
          <w:tcPr>
            <w:tcW w:w="26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Performing Loans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4,378</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4,269</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3,144</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3,807</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18,097</w:t>
            </w:r>
          </w:p>
        </w:tc>
        <w:tc>
          <w:tcPr>
            <w:tcW w:w="0" w:type="dxa"/>
            <w:vAlign w:val="bottom"/>
          </w:tcPr>
          <w:p>
            <w:pPr>
              <w:spacing w:after="0"/>
              <w:rPr>
                <w:sz w:val="1"/>
                <w:szCs w:val="1"/>
                <w:color w:val="auto"/>
              </w:rPr>
            </w:pPr>
          </w:p>
        </w:tc>
      </w:tr>
      <w:tr>
        <w:trPr>
          <w:trHeight w:val="205"/>
        </w:trPr>
        <w:tc>
          <w:tcPr>
            <w:tcW w:w="2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Non-Performing Loans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0" w:type="dxa"/>
            <w:vAlign w:val="bottom"/>
          </w:tcPr>
          <w:p>
            <w:pPr>
              <w:spacing w:after="0"/>
              <w:rPr>
                <w:sz w:val="1"/>
                <w:szCs w:val="1"/>
                <w:color w:val="auto"/>
              </w:rPr>
            </w:pPr>
          </w:p>
        </w:tc>
      </w:tr>
      <w:tr>
        <w:trPr>
          <w:trHeight w:val="145"/>
        </w:trPr>
        <w:tc>
          <w:tcPr>
            <w:tcW w:w="2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45"/>
        </w:trPr>
        <w:tc>
          <w:tcPr>
            <w:tcW w:w="2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Real Estate - 1-4 Family Mortgage</w:t>
            </w: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152,541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340,032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706,868</w:t>
            </w:r>
          </w:p>
        </w:tc>
        <w:tc>
          <w:tcPr>
            <w:tcW w:w="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491,159</w:t>
            </w: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279,682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417,569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499,157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13,692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2,900,700</w:t>
            </w:r>
          </w:p>
        </w:tc>
        <w:tc>
          <w:tcPr>
            <w:tcW w:w="0" w:type="dxa"/>
            <w:vAlign w:val="bottom"/>
          </w:tcPr>
          <w:p>
            <w:pPr>
              <w:spacing w:after="0"/>
              <w:rPr>
                <w:sz w:val="1"/>
                <w:szCs w:val="1"/>
                <w:color w:val="auto"/>
              </w:rPr>
            </w:pPr>
          </w:p>
        </w:tc>
      </w:tr>
      <w:tr>
        <w:trPr>
          <w:trHeight w:val="190"/>
        </w:trPr>
        <w:tc>
          <w:tcPr>
            <w:tcW w:w="2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First lien</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151,968</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339,214</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705,064</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490,266</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278,986</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414,928</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2,381,319</w:t>
            </w:r>
          </w:p>
        </w:tc>
        <w:tc>
          <w:tcPr>
            <w:tcW w:w="0" w:type="dxa"/>
            <w:vAlign w:val="bottom"/>
          </w:tcPr>
          <w:p>
            <w:pPr>
              <w:spacing w:after="0"/>
              <w:rPr>
                <w:sz w:val="1"/>
                <w:szCs w:val="1"/>
                <w:color w:val="auto"/>
              </w:rPr>
            </w:pPr>
          </w:p>
        </w:tc>
      </w:tr>
      <w:tr>
        <w:trPr>
          <w:trHeight w:val="205"/>
        </w:trPr>
        <w:tc>
          <w:tcPr>
            <w:tcW w:w="2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Performing Loans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151,675</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335,268</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690,666</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484,688</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268,806</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395,387</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2,327,383</w:t>
            </w:r>
          </w:p>
        </w:tc>
        <w:tc>
          <w:tcPr>
            <w:tcW w:w="0" w:type="dxa"/>
            <w:vAlign w:val="bottom"/>
          </w:tcPr>
          <w:p>
            <w:pPr>
              <w:spacing w:after="0"/>
              <w:rPr>
                <w:sz w:val="1"/>
                <w:szCs w:val="1"/>
                <w:color w:val="auto"/>
              </w:rPr>
            </w:pPr>
          </w:p>
        </w:tc>
      </w:tr>
      <w:tr>
        <w:trPr>
          <w:trHeight w:val="190"/>
        </w:trPr>
        <w:tc>
          <w:tcPr>
            <w:tcW w:w="26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Non-Performing Loans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3,946</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14,398</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5,578</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10,180</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19,541</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53,936</w:t>
            </w:r>
          </w:p>
        </w:tc>
        <w:tc>
          <w:tcPr>
            <w:tcW w:w="0" w:type="dxa"/>
            <w:vAlign w:val="bottom"/>
          </w:tcPr>
          <w:p>
            <w:pPr>
              <w:spacing w:after="0"/>
              <w:rPr>
                <w:sz w:val="1"/>
                <w:szCs w:val="1"/>
                <w:color w:val="auto"/>
              </w:rPr>
            </w:pPr>
          </w:p>
        </w:tc>
      </w:tr>
      <w:tr>
        <w:trPr>
          <w:trHeight w:val="152"/>
        </w:trPr>
        <w:tc>
          <w:tcPr>
            <w:tcW w:w="2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0" w:type="dxa"/>
            <w:vAlign w:val="bottom"/>
          </w:tcPr>
          <w:p>
            <w:pPr>
              <w:spacing w:after="0"/>
              <w:rPr>
                <w:sz w:val="1"/>
                <w:szCs w:val="1"/>
                <w:color w:val="auto"/>
              </w:rPr>
            </w:pPr>
          </w:p>
        </w:tc>
      </w:tr>
      <w:tr>
        <w:trPr>
          <w:trHeight w:val="152"/>
        </w:trPr>
        <w:tc>
          <w:tcPr>
            <w:tcW w:w="2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6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Junior lien</w:t>
            </w: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1,804</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2,446</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7,200</w:t>
            </w:r>
          </w:p>
        </w:tc>
        <w:tc>
          <w:tcPr>
            <w:tcW w:w="0" w:type="dxa"/>
            <w:vAlign w:val="bottom"/>
          </w:tcPr>
          <w:p>
            <w:pPr>
              <w:spacing w:after="0"/>
              <w:rPr>
                <w:sz w:val="1"/>
                <w:szCs w:val="1"/>
                <w:color w:val="auto"/>
              </w:rPr>
            </w:pPr>
          </w:p>
        </w:tc>
      </w:tr>
      <w:tr>
        <w:trPr>
          <w:trHeight w:val="205"/>
        </w:trPr>
        <w:tc>
          <w:tcPr>
            <w:tcW w:w="2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Performing Loans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1,804</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2,065</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6,741</w:t>
            </w:r>
          </w:p>
        </w:tc>
        <w:tc>
          <w:tcPr>
            <w:tcW w:w="0" w:type="dxa"/>
            <w:vAlign w:val="bottom"/>
          </w:tcPr>
          <w:p>
            <w:pPr>
              <w:spacing w:after="0"/>
              <w:rPr>
                <w:sz w:val="1"/>
                <w:szCs w:val="1"/>
                <w:color w:val="auto"/>
              </w:rPr>
            </w:pPr>
          </w:p>
        </w:tc>
      </w:tr>
      <w:tr>
        <w:trPr>
          <w:trHeight w:val="190"/>
        </w:trPr>
        <w:tc>
          <w:tcPr>
            <w:tcW w:w="26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Non-Performing Loans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0" w:type="dxa"/>
            <w:vAlign w:val="bottom"/>
          </w:tcPr>
          <w:p>
            <w:pPr>
              <w:spacing w:after="0"/>
              <w:rPr>
                <w:sz w:val="1"/>
                <w:szCs w:val="1"/>
                <w:color w:val="auto"/>
              </w:rPr>
            </w:pPr>
          </w:p>
        </w:tc>
      </w:tr>
      <w:tr>
        <w:trPr>
          <w:trHeight w:val="152"/>
        </w:trPr>
        <w:tc>
          <w:tcPr>
            <w:tcW w:w="2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2"/>
        </w:trPr>
        <w:tc>
          <w:tcPr>
            <w:tcW w:w="2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spacing w:after="0"/>
              <w:rPr>
                <w:sz w:val="13"/>
                <w:szCs w:val="13"/>
                <w:color w:val="auto"/>
              </w:rPr>
            </w:pPr>
          </w:p>
        </w:tc>
        <w:tc>
          <w:tcPr>
            <w:tcW w:w="940" w:type="dxa"/>
            <w:vAlign w:val="bottom"/>
            <w:gridSpan w:val="2"/>
            <w:shd w:val="clear" w:color="auto" w:fill="CCEEFF"/>
          </w:tcPr>
          <w:p>
            <w:pPr>
              <w:spacing w:after="0"/>
              <w:rPr>
                <w:sz w:val="13"/>
                <w:szCs w:val="13"/>
                <w:color w:val="auto"/>
              </w:rPr>
            </w:pPr>
          </w:p>
        </w:tc>
        <w:tc>
          <w:tcPr>
            <w:tcW w:w="960" w:type="dxa"/>
            <w:vAlign w:val="bottom"/>
            <w:gridSpan w:val="2"/>
            <w:shd w:val="clear" w:color="auto" w:fill="CCEEFF"/>
          </w:tcPr>
          <w:p>
            <w:pPr>
              <w:spacing w:after="0"/>
              <w:rPr>
                <w:sz w:val="13"/>
                <w:szCs w:val="13"/>
                <w:color w:val="auto"/>
              </w:rPr>
            </w:pPr>
          </w:p>
        </w:tc>
        <w:tc>
          <w:tcPr>
            <w:tcW w:w="940" w:type="dxa"/>
            <w:vAlign w:val="bottom"/>
            <w:gridSpan w:val="2"/>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6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Home equity</w:t>
            </w: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499,157</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12,799</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512,181</w:t>
            </w:r>
          </w:p>
        </w:tc>
        <w:tc>
          <w:tcPr>
            <w:tcW w:w="0" w:type="dxa"/>
            <w:vAlign w:val="bottom"/>
          </w:tcPr>
          <w:p>
            <w:pPr>
              <w:spacing w:after="0"/>
              <w:rPr>
                <w:sz w:val="1"/>
                <w:szCs w:val="1"/>
                <w:color w:val="auto"/>
              </w:rPr>
            </w:pPr>
          </w:p>
        </w:tc>
      </w:tr>
      <w:tr>
        <w:trPr>
          <w:trHeight w:val="205"/>
        </w:trPr>
        <w:tc>
          <w:tcPr>
            <w:tcW w:w="2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Performing Loans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499,052</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9,553</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508,812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Loans (continued)</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Non-Performing Loans</w:t>
            </w:r>
          </w:p>
        </w:tc>
        <w:tc>
          <w:tcPr>
            <w:tcW w:w="3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3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3,246</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3,369</w:t>
            </w:r>
          </w:p>
        </w:tc>
        <w:tc>
          <w:tcPr>
            <w:tcW w:w="0" w:type="dxa"/>
            <w:vAlign w:val="bottom"/>
          </w:tcPr>
          <w:p>
            <w:pPr>
              <w:spacing w:after="0"/>
              <w:rPr>
                <w:sz w:val="1"/>
                <w:szCs w:val="1"/>
                <w:color w:val="auto"/>
              </w:rPr>
            </w:pPr>
          </w:p>
        </w:tc>
      </w:tr>
      <w:tr>
        <w:trPr>
          <w:trHeight w:val="24"/>
        </w:trPr>
        <w:tc>
          <w:tcPr>
            <w:tcW w:w="2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3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0" w:type="dxa"/>
            <w:vAlign w:val="bottom"/>
          </w:tcPr>
          <w:p>
            <w:pPr>
              <w:spacing w:after="0"/>
              <w:rPr>
                <w:sz w:val="1"/>
                <w:szCs w:val="1"/>
                <w:color w:val="auto"/>
              </w:rPr>
            </w:pPr>
          </w:p>
        </w:tc>
      </w:tr>
      <w:tr>
        <w:trPr>
          <w:trHeight w:val="152"/>
        </w:trPr>
        <w:tc>
          <w:tcPr>
            <w:tcW w:w="2840" w:type="dxa"/>
            <w:vAlign w:val="bottom"/>
            <w:gridSpan w:val="2"/>
            <w:shd w:val="clear" w:color="auto" w:fill="CCEEFF"/>
          </w:tcPr>
          <w:p>
            <w:pPr>
              <w:spacing w:after="0"/>
              <w:rPr>
                <w:sz w:val="13"/>
                <w:szCs w:val="13"/>
                <w:color w:val="auto"/>
              </w:rPr>
            </w:pPr>
          </w:p>
        </w:tc>
        <w:tc>
          <w:tcPr>
            <w:tcW w:w="960" w:type="dxa"/>
            <w:vAlign w:val="bottom"/>
            <w:gridSpan w:val="2"/>
            <w:shd w:val="clear" w:color="auto" w:fill="CCEEFF"/>
          </w:tcPr>
          <w:p>
            <w:pPr>
              <w:spacing w:after="0"/>
              <w:rPr>
                <w:sz w:val="13"/>
                <w:szCs w:val="13"/>
                <w:color w:val="auto"/>
              </w:rPr>
            </w:pPr>
          </w:p>
        </w:tc>
        <w:tc>
          <w:tcPr>
            <w:tcW w:w="960" w:type="dxa"/>
            <w:vAlign w:val="bottom"/>
            <w:gridSpan w:val="2"/>
            <w:shd w:val="clear" w:color="auto" w:fill="CCEEFF"/>
          </w:tcPr>
          <w:p>
            <w:pPr>
              <w:spacing w:after="0"/>
              <w:rPr>
                <w:sz w:val="13"/>
                <w:szCs w:val="13"/>
                <w:color w:val="auto"/>
              </w:rPr>
            </w:pPr>
          </w:p>
        </w:tc>
        <w:tc>
          <w:tcPr>
            <w:tcW w:w="960" w:type="dxa"/>
            <w:vAlign w:val="bottom"/>
            <w:gridSpan w:val="2"/>
            <w:shd w:val="clear" w:color="auto" w:fill="CCEEFF"/>
          </w:tcPr>
          <w:p>
            <w:pPr>
              <w:spacing w:after="0"/>
              <w:rPr>
                <w:sz w:val="13"/>
                <w:szCs w:val="13"/>
                <w:color w:val="auto"/>
              </w:rPr>
            </w:pPr>
          </w:p>
        </w:tc>
        <w:tc>
          <w:tcPr>
            <w:tcW w:w="940" w:type="dxa"/>
            <w:vAlign w:val="bottom"/>
            <w:gridSpan w:val="2"/>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spacing w:after="0"/>
              <w:rPr>
                <w:sz w:val="13"/>
                <w:szCs w:val="13"/>
                <w:color w:val="auto"/>
              </w:rPr>
            </w:pPr>
          </w:p>
        </w:tc>
        <w:tc>
          <w:tcPr>
            <w:tcW w:w="880" w:type="dxa"/>
            <w:vAlign w:val="bottom"/>
            <w:gridSpan w:val="2"/>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8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 xml:space="preserve">Commercial real estate - owner occupied </w:t>
            </w:r>
            <w:r>
              <w:rPr>
                <w:rFonts w:ascii="Times New Roman" w:cs="Times New Roman" w:eastAsia="Times New Roman" w:hAnsi="Times New Roman"/>
                <w:sz w:val="14"/>
                <w:szCs w:val="14"/>
                <w:color w:val="auto"/>
              </w:rPr>
              <w:t>$</w:t>
            </w:r>
          </w:p>
        </w:tc>
        <w:tc>
          <w:tcPr>
            <w:tcW w:w="96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204"/>
        </w:trPr>
        <w:tc>
          <w:tcPr>
            <w:tcW w:w="2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Performing Loans</w:t>
            </w: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190"/>
        </w:trPr>
        <w:tc>
          <w:tcPr>
            <w:tcW w:w="2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Non-Performing Loans</w:t>
            </w:r>
          </w:p>
        </w:tc>
        <w:tc>
          <w:tcPr>
            <w:tcW w:w="3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2"/>
        </w:trPr>
        <w:tc>
          <w:tcPr>
            <w:tcW w:w="24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3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2"/>
        </w:trPr>
        <w:tc>
          <w:tcPr>
            <w:tcW w:w="24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460" w:type="dxa"/>
            <w:vAlign w:val="bottom"/>
          </w:tcPr>
          <w:p>
            <w:pPr>
              <w:ind w:left="140"/>
              <w:spacing w:after="0" w:line="133" w:lineRule="exact"/>
              <w:rPr>
                <w:sz w:val="20"/>
                <w:szCs w:val="20"/>
                <w:color w:val="auto"/>
              </w:rPr>
            </w:pPr>
            <w:r>
              <w:rPr>
                <w:rFonts w:ascii="Times New Roman" w:cs="Times New Roman" w:eastAsia="Times New Roman" w:hAnsi="Times New Roman"/>
                <w:sz w:val="14"/>
                <w:szCs w:val="14"/>
                <w:b w:val="1"/>
                <w:bCs w:val="1"/>
                <w:color w:val="auto"/>
              </w:rPr>
              <w:t>Commercial real estate - non owner</w:t>
            </w:r>
          </w:p>
        </w:tc>
        <w:tc>
          <w:tcPr>
            <w:tcW w:w="38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vMerge w:val="restart"/>
          </w:tcPr>
          <w:p>
            <w:pPr>
              <w:jc w:val="right"/>
              <w:ind w:right="150"/>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90"/>
        </w:trPr>
        <w:tc>
          <w:tcPr>
            <w:tcW w:w="24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occupied</w:t>
            </w:r>
          </w:p>
        </w:tc>
        <w:tc>
          <w:tcPr>
            <w:tcW w:w="38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Multi family</w:t>
            </w: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2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Performing Loans</w:t>
            </w:r>
          </w:p>
        </w:tc>
        <w:tc>
          <w:tcPr>
            <w:tcW w:w="3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2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Non-Performing Loans</w:t>
            </w: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5"/>
        </w:trPr>
        <w:tc>
          <w:tcPr>
            <w:tcW w:w="2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5"/>
        </w:trPr>
        <w:tc>
          <w:tcPr>
            <w:tcW w:w="2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gridSpan w:val="2"/>
          </w:tcPr>
          <w:p>
            <w:pPr>
              <w:spacing w:after="0"/>
              <w:rPr>
                <w:sz w:val="9"/>
                <w:szCs w:val="9"/>
                <w:color w:val="auto"/>
              </w:rPr>
            </w:pPr>
          </w:p>
        </w:tc>
        <w:tc>
          <w:tcPr>
            <w:tcW w:w="960" w:type="dxa"/>
            <w:vAlign w:val="bottom"/>
            <w:gridSpan w:val="2"/>
          </w:tcPr>
          <w:p>
            <w:pPr>
              <w:spacing w:after="0"/>
              <w:rPr>
                <w:sz w:val="9"/>
                <w:szCs w:val="9"/>
                <w:color w:val="auto"/>
              </w:rPr>
            </w:pPr>
          </w:p>
        </w:tc>
        <w:tc>
          <w:tcPr>
            <w:tcW w:w="960" w:type="dxa"/>
            <w:vAlign w:val="bottom"/>
            <w:gridSpan w:val="2"/>
          </w:tcPr>
          <w:p>
            <w:pPr>
              <w:spacing w:after="0"/>
              <w:rPr>
                <w:sz w:val="9"/>
                <w:szCs w:val="9"/>
                <w:color w:val="auto"/>
              </w:rPr>
            </w:pPr>
          </w:p>
        </w:tc>
        <w:tc>
          <w:tcPr>
            <w:tcW w:w="940" w:type="dxa"/>
            <w:vAlign w:val="bottom"/>
            <w:gridSpan w:val="2"/>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gridSpan w:val="2"/>
          </w:tcPr>
          <w:p>
            <w:pPr>
              <w:spacing w:after="0"/>
              <w:rPr>
                <w:sz w:val="9"/>
                <w:szCs w:val="9"/>
                <w:color w:val="auto"/>
              </w:rPr>
            </w:pPr>
          </w:p>
        </w:tc>
        <w:tc>
          <w:tcPr>
            <w:tcW w:w="1000" w:type="dxa"/>
            <w:vAlign w:val="bottom"/>
            <w:gridSpan w:val="2"/>
          </w:tcPr>
          <w:p>
            <w:pPr>
              <w:spacing w:after="0"/>
              <w:rPr>
                <w:sz w:val="9"/>
                <w:szCs w:val="9"/>
                <w:color w:val="auto"/>
              </w:rPr>
            </w:pPr>
          </w:p>
        </w:tc>
        <w:tc>
          <w:tcPr>
            <w:tcW w:w="880" w:type="dxa"/>
            <w:vAlign w:val="bottom"/>
            <w:gridSpan w:val="2"/>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2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90"/>
        </w:trPr>
        <w:tc>
          <w:tcPr>
            <w:tcW w:w="2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Performing Loans</w:t>
            </w:r>
          </w:p>
        </w:tc>
        <w:tc>
          <w:tcPr>
            <w:tcW w:w="3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05"/>
        </w:trPr>
        <w:tc>
          <w:tcPr>
            <w:tcW w:w="2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Non-Performing Loans</w:t>
            </w: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5"/>
        </w:trPr>
        <w:tc>
          <w:tcPr>
            <w:tcW w:w="2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5"/>
        </w:trPr>
        <w:tc>
          <w:tcPr>
            <w:tcW w:w="2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32,598</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11,488</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7,971</w:t>
            </w:r>
          </w:p>
        </w:tc>
        <w:tc>
          <w:tcPr>
            <w:tcW w:w="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3,815</w:t>
            </w:r>
          </w:p>
        </w:tc>
        <w:tc>
          <w:tcPr>
            <w:tcW w:w="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1,317</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17,261</w:t>
            </w:r>
          </w:p>
        </w:tc>
        <w:tc>
          <w:tcPr>
            <w:tcW w:w="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15,530</w:t>
            </w:r>
          </w:p>
        </w:tc>
        <w:tc>
          <w:tcPr>
            <w:tcW w:w="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90,009</w:t>
            </w:r>
          </w:p>
        </w:tc>
        <w:tc>
          <w:tcPr>
            <w:tcW w:w="0" w:type="dxa"/>
            <w:vAlign w:val="bottom"/>
          </w:tcPr>
          <w:p>
            <w:pPr>
              <w:spacing w:after="0"/>
              <w:rPr>
                <w:sz w:val="1"/>
                <w:szCs w:val="1"/>
                <w:color w:val="auto"/>
              </w:rPr>
            </w:pPr>
          </w:p>
        </w:tc>
      </w:tr>
      <w:tr>
        <w:trPr>
          <w:trHeight w:val="190"/>
        </w:trPr>
        <w:tc>
          <w:tcPr>
            <w:tcW w:w="2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Performing Loans</w:t>
            </w:r>
          </w:p>
        </w:tc>
        <w:tc>
          <w:tcPr>
            <w:tcW w:w="3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32,561</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11,472</w:t>
            </w: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7,971</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3,802</w:t>
            </w: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1,317</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17,212</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15,529</w:t>
            </w: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89,893</w:t>
            </w:r>
          </w:p>
        </w:tc>
        <w:tc>
          <w:tcPr>
            <w:tcW w:w="0" w:type="dxa"/>
            <w:vAlign w:val="bottom"/>
          </w:tcPr>
          <w:p>
            <w:pPr>
              <w:spacing w:after="0"/>
              <w:rPr>
                <w:sz w:val="1"/>
                <w:szCs w:val="1"/>
                <w:color w:val="auto"/>
              </w:rPr>
            </w:pPr>
          </w:p>
        </w:tc>
      </w:tr>
      <w:tr>
        <w:trPr>
          <w:trHeight w:val="205"/>
        </w:trPr>
        <w:tc>
          <w:tcPr>
            <w:tcW w:w="2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Non-Performing Loans</w:t>
            </w: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145"/>
        </w:trPr>
        <w:tc>
          <w:tcPr>
            <w:tcW w:w="2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1,623</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1,856</w:t>
            </w:r>
          </w:p>
        </w:tc>
        <w:tc>
          <w:tcPr>
            <w:tcW w:w="0" w:type="dxa"/>
            <w:vAlign w:val="bottom"/>
          </w:tcPr>
          <w:p>
            <w:pPr>
              <w:spacing w:after="0"/>
              <w:rPr>
                <w:sz w:val="1"/>
                <w:szCs w:val="1"/>
                <w:color w:val="auto"/>
              </w:rPr>
            </w:pPr>
          </w:p>
        </w:tc>
      </w:tr>
      <w:tr>
        <w:trPr>
          <w:trHeight w:val="145"/>
        </w:trPr>
        <w:tc>
          <w:tcPr>
            <w:tcW w:w="2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loans not subject to risk rating</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227,231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379,101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729,306</w:t>
            </w:r>
          </w:p>
        </w:tc>
        <w:tc>
          <w:tcPr>
            <w:tcW w:w="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500,846</w:t>
            </w:r>
          </w:p>
        </w:tc>
        <w:tc>
          <w:tcPr>
            <w:tcW w:w="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283,159</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455,486</w:t>
            </w:r>
          </w:p>
        </w:tc>
        <w:tc>
          <w:tcPr>
            <w:tcW w:w="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514,795</w:t>
            </w:r>
          </w:p>
        </w:tc>
        <w:tc>
          <w:tcPr>
            <w:tcW w:w="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13,987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3,103,911</w:t>
            </w:r>
          </w:p>
        </w:tc>
        <w:tc>
          <w:tcPr>
            <w:tcW w:w="0" w:type="dxa"/>
            <w:vAlign w:val="bottom"/>
          </w:tcPr>
          <w:p>
            <w:pPr>
              <w:spacing w:after="0"/>
              <w:rPr>
                <w:sz w:val="1"/>
                <w:szCs w:val="1"/>
                <w:color w:val="auto"/>
              </w:rPr>
            </w:pPr>
          </w:p>
        </w:tc>
      </w:tr>
      <w:tr>
        <w:trPr>
          <w:trHeight w:val="190"/>
        </w:trPr>
        <w:tc>
          <w:tcPr>
            <w:tcW w:w="2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Performing Loans</w:t>
            </w:r>
          </w:p>
        </w:tc>
        <w:tc>
          <w:tcPr>
            <w:tcW w:w="3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226,690</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375,061</w:t>
            </w: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714,795</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495,246</w:t>
            </w: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272,978</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435,497</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514,689</w:t>
            </w: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10,741</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3,045,697</w:t>
            </w:r>
          </w:p>
        </w:tc>
        <w:tc>
          <w:tcPr>
            <w:tcW w:w="0" w:type="dxa"/>
            <w:vAlign w:val="bottom"/>
          </w:tcPr>
          <w:p>
            <w:pPr>
              <w:spacing w:after="0"/>
              <w:rPr>
                <w:sz w:val="1"/>
                <w:szCs w:val="1"/>
                <w:color w:val="auto"/>
              </w:rPr>
            </w:pPr>
          </w:p>
        </w:tc>
      </w:tr>
      <w:tr>
        <w:trPr>
          <w:trHeight w:val="205"/>
        </w:trPr>
        <w:tc>
          <w:tcPr>
            <w:tcW w:w="2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Non-Performing Loans</w:t>
            </w: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4,040</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14,511</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5,600</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10,181</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19,989</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3,246</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58,214</w:t>
            </w:r>
          </w:p>
        </w:tc>
        <w:tc>
          <w:tcPr>
            <w:tcW w:w="0" w:type="dxa"/>
            <w:vAlign w:val="bottom"/>
          </w:tcPr>
          <w:p>
            <w:pPr>
              <w:spacing w:after="0"/>
              <w:rPr>
                <w:sz w:val="1"/>
                <w:szCs w:val="1"/>
                <w:color w:val="auto"/>
              </w:rPr>
            </w:pPr>
          </w:p>
        </w:tc>
      </w:tr>
      <w:tr>
        <w:trPr>
          <w:trHeight w:val="145"/>
        </w:trPr>
        <w:tc>
          <w:tcPr>
            <w:tcW w:w="2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1,798</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2,718</w:t>
            </w: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Pledged</w:t>
      </w:r>
    </w:p>
    <w:p>
      <w:pPr>
        <w:spacing w:after="0" w:line="2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Federal Home Loan Bank (“FHLB”) of Dallas maintains a blanket lien on the Company’s loan portfolio to be pledged as collateral for various FHLB products. In addition, the Company pledged $681,719 and $656,683 of its non-real estate loan portfolio to the Federal Reserve as collateral at the Discount Window at December 31, 2025 and 2024,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Loans</w:t>
      </w:r>
    </w:p>
    <w:p>
      <w:pPr>
        <w:spacing w:after="0" w:line="1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Certain executive officers and directors of the Bank and their associates are customers of and have other transactions with the Bank. Related party loans and commitments are made on substantially the same terms, including interest rates and collateral, as those prevailing at the time for comparable transactions with persons not related to the Company or the Bank and do not involve more than a normal risk of collectability or present other unfavorable features. A summary of the changes in related party loans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at December 31, 2024</w:t>
            </w: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w:t>
            </w:r>
          </w:p>
        </w:tc>
      </w:tr>
      <w:tr>
        <w:trPr>
          <w:trHeight w:val="224"/>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loans and advances</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5,262</w:t>
            </w:r>
          </w:p>
        </w:tc>
      </w:tr>
      <w:tr>
        <w:trPr>
          <w:trHeight w:val="224"/>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to directors assumed in acquisition</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8,362</w:t>
            </w:r>
          </w:p>
        </w:tc>
      </w:tr>
      <w:tr>
        <w:trPr>
          <w:trHeight w:val="224"/>
        </w:trPr>
        <w:tc>
          <w:tcPr>
            <w:tcW w:w="9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Payments received</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42"/>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at December 31, 2025</w:t>
            </w: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17,596</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Loans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No related party loans were classified as past due or nonaccrual at December 31, 2025 or 2024. Unfunded commitments to certain executive officers and directors and their associates totaled $17,178 and $1,168 at December 31, 2025 and 2024, respectively.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Allowance for Credit Losses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 on Loans</w:t>
      </w:r>
    </w:p>
    <w:p>
      <w:pPr>
        <w:spacing w:after="0" w:line="16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The following table provides a roll-forward of the allowance for credit losses by loan category and a breakdown of the ending balance of the allowance based on the Company’s credit loss methodology for the periods presented: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3"/>
                <w:szCs w:val="13"/>
                <w:color w:val="auto"/>
              </w:rPr>
            </w:pPr>
          </w:p>
        </w:tc>
        <w:tc>
          <w:tcPr>
            <w:tcW w:w="13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Commercial and</w:t>
            </w: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Construction and</w:t>
            </w:r>
          </w:p>
        </w:tc>
        <w:tc>
          <w:tcPr>
            <w:tcW w:w="16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Real Estate -</w:t>
            </w: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Commercial real</w:t>
            </w:r>
          </w:p>
        </w:tc>
        <w:tc>
          <w:tcPr>
            <w:tcW w:w="100" w:type="dxa"/>
            <w:vAlign w:val="bottom"/>
          </w:tcPr>
          <w:p>
            <w:pPr>
              <w:spacing w:after="0"/>
              <w:rPr>
                <w:sz w:val="13"/>
                <w:szCs w:val="13"/>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Commercial real</w:t>
            </w: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3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60"/>
              <w:spacing w:after="0" w:line="143" w:lineRule="exact"/>
              <w:rPr>
                <w:sz w:val="20"/>
                <w:szCs w:val="20"/>
                <w:color w:val="auto"/>
              </w:rPr>
            </w:pPr>
            <w:r>
              <w:rPr>
                <w:rFonts w:ascii="Times New Roman" w:cs="Times New Roman" w:eastAsia="Times New Roman" w:hAnsi="Times New Roman"/>
                <w:sz w:val="14"/>
                <w:szCs w:val="14"/>
                <w:b w:val="1"/>
                <w:bCs w:val="1"/>
                <w:color w:val="auto"/>
                <w:w w:val="99"/>
              </w:rPr>
              <w:t>1-4 Family</w:t>
            </w:r>
          </w:p>
        </w:tc>
        <w:tc>
          <w:tcPr>
            <w:tcW w:w="140" w:type="dxa"/>
            <w:vAlign w:val="bottom"/>
          </w:tcPr>
          <w:p>
            <w:pPr>
              <w:spacing w:after="0"/>
              <w:rPr>
                <w:sz w:val="12"/>
                <w:szCs w:val="12"/>
                <w:color w:val="auto"/>
              </w:rPr>
            </w:pPr>
          </w:p>
        </w:tc>
        <w:tc>
          <w:tcPr>
            <w:tcW w:w="116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rPr>
              <w:t>estate - owner</w:t>
            </w:r>
          </w:p>
        </w:tc>
        <w:tc>
          <w:tcPr>
            <w:tcW w:w="1280" w:type="dxa"/>
            <w:vAlign w:val="bottom"/>
            <w:gridSpan w:val="3"/>
          </w:tcPr>
          <w:p>
            <w:pPr>
              <w:jc w:val="center"/>
              <w:ind w:right="80"/>
              <w:spacing w:after="0" w:line="143" w:lineRule="exact"/>
              <w:rPr>
                <w:sz w:val="20"/>
                <w:szCs w:val="20"/>
                <w:color w:val="auto"/>
              </w:rPr>
            </w:pPr>
            <w:r>
              <w:rPr>
                <w:rFonts w:ascii="Times New Roman" w:cs="Times New Roman" w:eastAsia="Times New Roman" w:hAnsi="Times New Roman"/>
                <w:sz w:val="14"/>
                <w:szCs w:val="14"/>
                <w:b w:val="1"/>
                <w:bCs w:val="1"/>
                <w:color w:val="auto"/>
              </w:rPr>
              <w:t>estate - non-owner</w:t>
            </w:r>
          </w:p>
        </w:tc>
        <w:tc>
          <w:tcPr>
            <w:tcW w:w="200" w:type="dxa"/>
            <w:vAlign w:val="bottom"/>
          </w:tcPr>
          <w:p>
            <w:pPr>
              <w:spacing w:after="0"/>
              <w:rPr>
                <w:sz w:val="12"/>
                <w:szCs w:val="12"/>
                <w:color w:val="auto"/>
              </w:rPr>
            </w:pP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260" w:type="dxa"/>
            <w:vAlign w:val="bottom"/>
          </w:tcPr>
          <w:p>
            <w:pPr>
              <w:spacing w:after="0"/>
              <w:rPr>
                <w:sz w:val="12"/>
                <w:szCs w:val="12"/>
                <w:color w:val="auto"/>
              </w:rPr>
            </w:pPr>
          </w:p>
        </w:tc>
        <w:tc>
          <w:tcPr>
            <w:tcW w:w="920" w:type="dxa"/>
            <w:vAlign w:val="bottom"/>
            <w:vMerge w:val="restart"/>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land development</w:t>
            </w:r>
          </w:p>
        </w:tc>
        <w:tc>
          <w:tcPr>
            <w:tcW w:w="16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Mortgage</w:t>
            </w: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occupied</w:t>
            </w:r>
          </w:p>
        </w:tc>
        <w:tc>
          <w:tcPr>
            <w:tcW w:w="100" w:type="dxa"/>
            <w:vAlign w:val="bottom"/>
          </w:tcPr>
          <w:p>
            <w:pPr>
              <w:spacing w:after="0"/>
              <w:rPr>
                <w:sz w:val="16"/>
                <w:szCs w:val="16"/>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occupied</w:t>
            </w: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 2025</w:t>
            </w: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3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Allowance for credit losses on</w:t>
            </w: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41,864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5"/>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16,993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71,664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6,537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201,756</w:t>
            </w:r>
          </w:p>
        </w:tc>
        <w:tc>
          <w:tcPr>
            <w:tcW w:w="0" w:type="dxa"/>
            <w:vAlign w:val="bottom"/>
          </w:tcPr>
          <w:p>
            <w:pPr>
              <w:spacing w:after="0"/>
              <w:rPr>
                <w:sz w:val="1"/>
                <w:szCs w:val="1"/>
                <w:color w:val="auto"/>
              </w:rPr>
            </w:pPr>
          </w:p>
        </w:tc>
      </w:tr>
      <w:tr>
        <w:trPr>
          <w:trHeight w:val="158"/>
        </w:trPr>
        <w:tc>
          <w:tcPr>
            <w:tcW w:w="23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Impact of PCD loans acquired</w:t>
            </w:r>
          </w:p>
        </w:tc>
        <w:tc>
          <w:tcPr>
            <w:tcW w:w="200" w:type="dxa"/>
            <w:vAlign w:val="bottom"/>
          </w:tcPr>
          <w:p>
            <w:pPr>
              <w:spacing w:after="0"/>
              <w:rPr>
                <w:sz w:val="13"/>
                <w:szCs w:val="13"/>
                <w:color w:val="auto"/>
              </w:rPr>
            </w:pPr>
          </w:p>
        </w:tc>
        <w:tc>
          <w:tcPr>
            <w:tcW w:w="10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8,997</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2,185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4,290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8,823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25,003</w:t>
            </w:r>
          </w:p>
        </w:tc>
        <w:tc>
          <w:tcPr>
            <w:tcW w:w="0" w:type="dxa"/>
            <w:vAlign w:val="bottom"/>
          </w:tcPr>
          <w:p>
            <w:pPr>
              <w:spacing w:after="0"/>
              <w:rPr>
                <w:sz w:val="1"/>
                <w:szCs w:val="1"/>
                <w:color w:val="auto"/>
              </w:rPr>
            </w:pPr>
          </w:p>
        </w:tc>
      </w:tr>
      <w:tr>
        <w:trPr>
          <w:trHeight w:val="209"/>
        </w:trPr>
        <w:tc>
          <w:tcPr>
            <w:tcW w:w="2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during the period</w:t>
            </w:r>
          </w:p>
        </w:tc>
        <w:tc>
          <w:tcPr>
            <w:tcW w:w="2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Charge-offs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(19,527)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(28,759)</w:t>
            </w:r>
          </w:p>
        </w:tc>
        <w:tc>
          <w:tcPr>
            <w:tcW w:w="0" w:type="dxa"/>
            <w:vAlign w:val="bottom"/>
          </w:tcPr>
          <w:p>
            <w:pPr>
              <w:spacing w:after="0"/>
              <w:rPr>
                <w:sz w:val="1"/>
                <w:szCs w:val="1"/>
                <w:color w:val="auto"/>
              </w:rPr>
            </w:pPr>
          </w:p>
        </w:tc>
      </w:tr>
      <w:tr>
        <w:trPr>
          <w:trHeight w:val="209"/>
        </w:trPr>
        <w:tc>
          <w:tcPr>
            <w:tcW w:w="2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Recoveries</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2,047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448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452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3,382</w:t>
            </w:r>
          </w:p>
        </w:tc>
        <w:tc>
          <w:tcPr>
            <w:tcW w:w="0" w:type="dxa"/>
            <w:vAlign w:val="bottom"/>
          </w:tcPr>
          <w:p>
            <w:pPr>
              <w:spacing w:after="0"/>
              <w:rPr>
                <w:sz w:val="1"/>
                <w:szCs w:val="1"/>
                <w:color w:val="auto"/>
              </w:rPr>
            </w:pPr>
          </w:p>
        </w:tc>
      </w:tr>
      <w:tr>
        <w:trPr>
          <w:trHeight w:val="206"/>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charge-offs</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(25,377)</w:t>
            </w:r>
          </w:p>
        </w:tc>
        <w:tc>
          <w:tcPr>
            <w:tcW w:w="0" w:type="dxa"/>
            <w:vAlign w:val="bottom"/>
          </w:tcPr>
          <w:p>
            <w:pPr>
              <w:spacing w:after="0"/>
              <w:rPr>
                <w:sz w:val="1"/>
                <w:szCs w:val="1"/>
                <w:color w:val="auto"/>
              </w:rPr>
            </w:pPr>
          </w:p>
        </w:tc>
      </w:tr>
      <w:tr>
        <w:trPr>
          <w:trHeight w:val="158"/>
        </w:trPr>
        <w:tc>
          <w:tcPr>
            <w:tcW w:w="23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Provision for (reversal of) credit</w:t>
            </w:r>
          </w:p>
        </w:tc>
        <w:tc>
          <w:tcPr>
            <w:tcW w:w="200" w:type="dxa"/>
            <w:vAlign w:val="bottom"/>
          </w:tcPr>
          <w:p>
            <w:pPr>
              <w:spacing w:after="0"/>
              <w:rPr>
                <w:sz w:val="13"/>
                <w:szCs w:val="13"/>
                <w:color w:val="auto"/>
              </w:rPr>
            </w:pPr>
          </w:p>
        </w:tc>
        <w:tc>
          <w:tcPr>
            <w:tcW w:w="10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24,450</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10,338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16,279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22,947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19,074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92,573</w:t>
            </w:r>
          </w:p>
        </w:tc>
        <w:tc>
          <w:tcPr>
            <w:tcW w:w="0" w:type="dxa"/>
            <w:vAlign w:val="bottom"/>
          </w:tcPr>
          <w:p>
            <w:pPr>
              <w:spacing w:after="0"/>
              <w:rPr>
                <w:sz w:val="1"/>
                <w:szCs w:val="1"/>
                <w:color w:val="auto"/>
              </w:rPr>
            </w:pPr>
          </w:p>
        </w:tc>
      </w:tr>
      <w:tr>
        <w:trPr>
          <w:trHeight w:val="209"/>
        </w:trPr>
        <w:tc>
          <w:tcPr>
            <w:tcW w:w="2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losses on loans</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57,831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5"/>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31,359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61,249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38,961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99,605</w:t>
            </w:r>
          </w:p>
        </w:tc>
        <w:tc>
          <w:tcPr>
            <w:tcW w:w="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4,950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293,955</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30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Nonaccruing loans with no</w:t>
            </w:r>
          </w:p>
        </w:tc>
        <w:tc>
          <w:tcPr>
            <w:tcW w:w="20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22,985</w:t>
            </w:r>
          </w:p>
        </w:tc>
        <w:tc>
          <w:tcPr>
            <w:tcW w:w="10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205"/>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6,718</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2,386</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8,097</w:t>
            </w:r>
          </w:p>
        </w:tc>
        <w:tc>
          <w:tcPr>
            <w:tcW w:w="10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10,646</w:t>
            </w:r>
          </w:p>
        </w:tc>
        <w:tc>
          <w:tcPr>
            <w:tcW w:w="8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50,832</w:t>
            </w:r>
          </w:p>
        </w:tc>
        <w:tc>
          <w:tcPr>
            <w:tcW w:w="0" w:type="dxa"/>
            <w:vAlign w:val="bottom"/>
          </w:tcPr>
          <w:p>
            <w:pPr>
              <w:spacing w:after="0"/>
              <w:rPr>
                <w:sz w:val="1"/>
                <w:szCs w:val="1"/>
                <w:color w:val="auto"/>
              </w:rPr>
            </w:pPr>
          </w:p>
        </w:tc>
      </w:tr>
      <w:tr>
        <w:trPr>
          <w:trHeight w:val="211"/>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20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8"/>
        </w:trPr>
        <w:tc>
          <w:tcPr>
            <w:tcW w:w="2300" w:type="dxa"/>
            <w:vAlign w:val="bottom"/>
          </w:tcPr>
          <w:p>
            <w:pPr>
              <w:spacing w:after="0"/>
              <w:rPr>
                <w:sz w:val="24"/>
                <w:szCs w:val="24"/>
                <w:color w:val="auto"/>
              </w:rPr>
            </w:pPr>
          </w:p>
        </w:tc>
        <w:tc>
          <w:tcPr>
            <w:tcW w:w="13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Commercial and</w:t>
            </w: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Construction and</w:t>
            </w:r>
          </w:p>
        </w:tc>
        <w:tc>
          <w:tcPr>
            <w:tcW w:w="160" w:type="dxa"/>
            <w:vAlign w:val="bottom"/>
          </w:tcPr>
          <w:p>
            <w:pPr>
              <w:spacing w:after="0"/>
              <w:rPr>
                <w:sz w:val="24"/>
                <w:szCs w:val="2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Real Estate -</w:t>
            </w: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Commercial real</w:t>
            </w:r>
          </w:p>
        </w:tc>
        <w:tc>
          <w:tcPr>
            <w:tcW w:w="100" w:type="dxa"/>
            <w:vAlign w:val="bottom"/>
          </w:tcPr>
          <w:p>
            <w:pPr>
              <w:spacing w:after="0"/>
              <w:rPr>
                <w:sz w:val="24"/>
                <w:szCs w:val="24"/>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Commercial real</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23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1-4 Family</w:t>
            </w:r>
          </w:p>
        </w:tc>
        <w:tc>
          <w:tcPr>
            <w:tcW w:w="140" w:type="dxa"/>
            <w:vAlign w:val="bottom"/>
          </w:tcPr>
          <w:p>
            <w:pPr>
              <w:spacing w:after="0"/>
              <w:rPr>
                <w:sz w:val="12"/>
                <w:szCs w:val="12"/>
                <w:color w:val="auto"/>
              </w:rPr>
            </w:pPr>
          </w:p>
        </w:tc>
        <w:tc>
          <w:tcPr>
            <w:tcW w:w="116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estate - owner</w:t>
            </w:r>
          </w:p>
        </w:tc>
        <w:tc>
          <w:tcPr>
            <w:tcW w:w="1280" w:type="dxa"/>
            <w:vAlign w:val="bottom"/>
            <w:gridSpan w:val="3"/>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rPr>
              <w:t>estate - non-owner</w:t>
            </w:r>
          </w:p>
        </w:tc>
        <w:tc>
          <w:tcPr>
            <w:tcW w:w="200" w:type="dxa"/>
            <w:vAlign w:val="bottom"/>
          </w:tcPr>
          <w:p>
            <w:pPr>
              <w:spacing w:after="0"/>
              <w:rPr>
                <w:sz w:val="12"/>
                <w:szCs w:val="12"/>
                <w:color w:val="auto"/>
              </w:rPr>
            </w:pP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260" w:type="dxa"/>
            <w:vAlign w:val="bottom"/>
          </w:tcPr>
          <w:p>
            <w:pPr>
              <w:spacing w:after="0"/>
              <w:rPr>
                <w:sz w:val="12"/>
                <w:szCs w:val="12"/>
                <w:color w:val="auto"/>
              </w:rPr>
            </w:pPr>
          </w:p>
        </w:tc>
        <w:tc>
          <w:tcPr>
            <w:tcW w:w="920" w:type="dxa"/>
            <w:vAlign w:val="bottom"/>
            <w:vMerge w:val="restart"/>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2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land development</w:t>
            </w:r>
          </w:p>
        </w:tc>
        <w:tc>
          <w:tcPr>
            <w:tcW w:w="16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Mortgage</w:t>
            </w: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occupied</w:t>
            </w:r>
          </w:p>
        </w:tc>
        <w:tc>
          <w:tcPr>
            <w:tcW w:w="100" w:type="dxa"/>
            <w:vAlign w:val="bottom"/>
          </w:tcPr>
          <w:p>
            <w:pPr>
              <w:spacing w:after="0"/>
              <w:rPr>
                <w:sz w:val="16"/>
                <w:szCs w:val="16"/>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occupied</w:t>
            </w: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 2024</w:t>
            </w: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3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Allowance for credit losses on</w:t>
            </w: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46,418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5"/>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15,192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59,474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9,120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198,578</w:t>
            </w:r>
          </w:p>
        </w:tc>
        <w:tc>
          <w:tcPr>
            <w:tcW w:w="0" w:type="dxa"/>
            <w:vAlign w:val="bottom"/>
          </w:tcPr>
          <w:p>
            <w:pPr>
              <w:spacing w:after="0"/>
              <w:rPr>
                <w:sz w:val="1"/>
                <w:szCs w:val="1"/>
                <w:color w:val="auto"/>
              </w:rPr>
            </w:pPr>
          </w:p>
        </w:tc>
      </w:tr>
      <w:tr>
        <w:trPr>
          <w:trHeight w:val="158"/>
        </w:trPr>
        <w:tc>
          <w:tcPr>
            <w:tcW w:w="23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Impact of PCD loans acquired</w:t>
            </w:r>
          </w:p>
        </w:tc>
        <w:tc>
          <w:tcPr>
            <w:tcW w:w="200" w:type="dxa"/>
            <w:vAlign w:val="bottom"/>
          </w:tcPr>
          <w:p>
            <w:pPr>
              <w:spacing w:after="0"/>
              <w:rPr>
                <w:sz w:val="13"/>
                <w:szCs w:val="13"/>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3"/>
                <w:szCs w:val="13"/>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1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2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during the period</w:t>
            </w:r>
          </w:p>
        </w:tc>
        <w:tc>
          <w:tcPr>
            <w:tcW w:w="2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Charge-offs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(13,809)</w:t>
            </w:r>
          </w:p>
        </w:tc>
        <w:tc>
          <w:tcPr>
            <w:tcW w:w="0" w:type="dxa"/>
            <w:vAlign w:val="bottom"/>
          </w:tcPr>
          <w:p>
            <w:pPr>
              <w:spacing w:after="0"/>
              <w:rPr>
                <w:sz w:val="1"/>
                <w:szCs w:val="1"/>
                <w:color w:val="auto"/>
              </w:rPr>
            </w:pPr>
          </w:p>
        </w:tc>
      </w:tr>
      <w:tr>
        <w:trPr>
          <w:trHeight w:val="209"/>
        </w:trPr>
        <w:tc>
          <w:tcPr>
            <w:tcW w:w="2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Recoveries</w:t>
            </w:r>
          </w:p>
        </w:tc>
        <w:tc>
          <w:tcPr>
            <w:tcW w:w="20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1,745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5,739</w:t>
            </w:r>
          </w:p>
        </w:tc>
        <w:tc>
          <w:tcPr>
            <w:tcW w:w="0" w:type="dxa"/>
            <w:vAlign w:val="bottom"/>
          </w:tcPr>
          <w:p>
            <w:pPr>
              <w:spacing w:after="0"/>
              <w:rPr>
                <w:sz w:val="1"/>
                <w:szCs w:val="1"/>
                <w:color w:val="auto"/>
              </w:rPr>
            </w:pPr>
          </w:p>
        </w:tc>
      </w:tr>
      <w:tr>
        <w:trPr>
          <w:trHeight w:val="206"/>
        </w:trPr>
        <w:tc>
          <w:tcPr>
            <w:tcW w:w="2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charge-offs</w:t>
            </w: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(3,360)</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(3,527)</w:t>
            </w:r>
          </w:p>
        </w:tc>
        <w:tc>
          <w:tcPr>
            <w:tcW w:w="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(8,070)</w:t>
            </w:r>
          </w:p>
        </w:tc>
        <w:tc>
          <w:tcPr>
            <w:tcW w:w="0" w:type="dxa"/>
            <w:vAlign w:val="bottom"/>
          </w:tcPr>
          <w:p>
            <w:pPr>
              <w:spacing w:after="0"/>
              <w:rPr>
                <w:sz w:val="1"/>
                <w:szCs w:val="1"/>
                <w:color w:val="auto"/>
              </w:rPr>
            </w:pPr>
          </w:p>
        </w:tc>
      </w:tr>
      <w:tr>
        <w:trPr>
          <w:trHeight w:val="158"/>
        </w:trPr>
        <w:tc>
          <w:tcPr>
            <w:tcW w:w="23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(Reversal of) provision for credit</w:t>
            </w:r>
          </w:p>
        </w:tc>
        <w:tc>
          <w:tcPr>
            <w:tcW w:w="2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(1,194)</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(3,976)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1,253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1,726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15,717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(2,278)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11,248</w:t>
            </w:r>
          </w:p>
        </w:tc>
        <w:tc>
          <w:tcPr>
            <w:tcW w:w="0" w:type="dxa"/>
            <w:vAlign w:val="bottom"/>
          </w:tcPr>
          <w:p>
            <w:pPr>
              <w:spacing w:after="0"/>
              <w:rPr>
                <w:sz w:val="1"/>
                <w:szCs w:val="1"/>
                <w:color w:val="auto"/>
              </w:rPr>
            </w:pPr>
          </w:p>
        </w:tc>
      </w:tr>
      <w:tr>
        <w:trPr>
          <w:trHeight w:val="209"/>
        </w:trPr>
        <w:tc>
          <w:tcPr>
            <w:tcW w:w="2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losses on loans</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41,864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5"/>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19,200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45,498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16,993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71,664</w:t>
            </w:r>
          </w:p>
        </w:tc>
        <w:tc>
          <w:tcPr>
            <w:tcW w:w="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6,537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201,756</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30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Nonaccruing loans with no</w:t>
            </w:r>
          </w:p>
        </w:tc>
        <w:tc>
          <w:tcPr>
            <w:tcW w:w="20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735</w:t>
            </w:r>
          </w:p>
        </w:tc>
        <w:tc>
          <w:tcPr>
            <w:tcW w:w="10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205"/>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3,257</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6,298</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3,194</w:t>
            </w:r>
          </w:p>
        </w:tc>
        <w:tc>
          <w:tcPr>
            <w:tcW w:w="10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8,555</w:t>
            </w:r>
          </w:p>
        </w:tc>
        <w:tc>
          <w:tcPr>
            <w:tcW w:w="8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22,039</w:t>
            </w:r>
          </w:p>
        </w:tc>
        <w:tc>
          <w:tcPr>
            <w:tcW w:w="0" w:type="dxa"/>
            <w:vAlign w:val="bottom"/>
          </w:tcPr>
          <w:p>
            <w:pPr>
              <w:spacing w:after="0"/>
              <w:rPr>
                <w:sz w:val="1"/>
                <w:szCs w:val="1"/>
                <w:color w:val="auto"/>
              </w:rPr>
            </w:pPr>
          </w:p>
        </w:tc>
      </w:tr>
      <w:tr>
        <w:trPr>
          <w:trHeight w:val="211"/>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20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increase in the allowance for credit losses was primarily driven by loan balance increase from a combination of organic loan growth and from the acquisition of The First, and changes in the macroeconomic environment and qualitative factors. The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Allowance for Credit Losses (continued)</w:t>
      </w:r>
    </w:p>
    <w:p>
      <w:pPr>
        <w:spacing w:after="0" w:line="200" w:lineRule="exact"/>
        <w:rPr>
          <w:sz w:val="20"/>
          <w:szCs w:val="20"/>
          <w:color w:val="auto"/>
        </w:rPr>
      </w:pPr>
    </w:p>
    <w:p>
      <w:pPr>
        <w:spacing w:after="0" w:line="2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Company’s allowance for credit loss considers current conditions, economic projections, primarily the national unemployment rate and GDP over a reasonable and supportable period of two years, historical loss data, and environmental factors.</w:t>
      </w:r>
    </w:p>
    <w:p>
      <w:pPr>
        <w:spacing w:after="0" w:line="16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allowance for credit loss considers current conditions, economic projections, primarily the national unemployment rate and GDP over a reasonable and supportable period of two years, historical loss data, and environmental factors. The allowance for credit losses under CECL is calculated utilizing the probability of default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PD</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loss given default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LGD</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approach for most commercial mortgage related pools, while the average historical life-of-loan loss rate cohort approach is used for the remaining pools.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Collateral Dependent Loans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present collateral dependent loans by loan portfolio segment and by type of collateral along with the related allowance for credit losses: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00" w:type="dxa"/>
            <w:vAlign w:val="bottom"/>
            <w:gridSpan w:val="3"/>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Collateral Type</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2"/>
                <w:szCs w:val="2"/>
                <w:color w:val="auto"/>
              </w:rPr>
            </w:pPr>
          </w:p>
        </w:tc>
        <w:tc>
          <w:tcPr>
            <w:tcW w:w="960" w:type="dxa"/>
            <w:vAlign w:val="bottom"/>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0" w:type="dxa"/>
            <w:vAlign w:val="bottom"/>
          </w:tcPr>
          <w:p>
            <w:pPr>
              <w:spacing w:after="0"/>
              <w:rPr>
                <w:sz w:val="1"/>
                <w:szCs w:val="1"/>
                <w:color w:val="auto"/>
              </w:rPr>
            </w:pPr>
          </w:p>
        </w:tc>
      </w:tr>
      <w:tr>
        <w:trPr>
          <w:trHeight w:val="184"/>
        </w:trPr>
        <w:tc>
          <w:tcPr>
            <w:tcW w:w="6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260" w:type="dxa"/>
            <w:vAlign w:val="bottom"/>
          </w:tcPr>
          <w:p>
            <w:pPr>
              <w:spacing w:after="0"/>
              <w:rPr>
                <w:sz w:val="16"/>
                <w:szCs w:val="16"/>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December 31, 2025</w:t>
            </w: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46,860</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46,860</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4,502</w:t>
            </w:r>
          </w:p>
        </w:tc>
        <w:tc>
          <w:tcPr>
            <w:tcW w:w="0" w:type="dxa"/>
            <w:vAlign w:val="bottom"/>
          </w:tcPr>
          <w:p>
            <w:pPr>
              <w:spacing w:after="0"/>
              <w:rPr>
                <w:sz w:val="1"/>
                <w:szCs w:val="1"/>
                <w:color w:val="auto"/>
              </w:rPr>
            </w:pPr>
          </w:p>
        </w:tc>
      </w:tr>
      <w:tr>
        <w:trPr>
          <w:trHeight w:val="205"/>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Construction and land development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Residential</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2,033</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10,575</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10,575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1,887</w:t>
            </w:r>
          </w:p>
        </w:tc>
        <w:tc>
          <w:tcPr>
            <w:tcW w:w="0" w:type="dxa"/>
            <w:vAlign w:val="bottom"/>
          </w:tcPr>
          <w:p>
            <w:pPr>
              <w:spacing w:after="0"/>
              <w:rPr>
                <w:sz w:val="1"/>
                <w:szCs w:val="1"/>
                <w:color w:val="auto"/>
              </w:rPr>
            </w:pPr>
          </w:p>
        </w:tc>
      </w:tr>
      <w:tr>
        <w:trPr>
          <w:trHeight w:val="183"/>
        </w:trPr>
        <w:tc>
          <w:tcPr>
            <w:tcW w:w="6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construction and land development</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12,608</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12,608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1,887</w:t>
            </w:r>
          </w:p>
        </w:tc>
        <w:tc>
          <w:tcPr>
            <w:tcW w:w="0" w:type="dxa"/>
            <w:vAlign w:val="bottom"/>
          </w:tcPr>
          <w:p>
            <w:pPr>
              <w:spacing w:after="0"/>
              <w:rPr>
                <w:sz w:val="1"/>
                <w:szCs w:val="1"/>
                <w:color w:val="auto"/>
              </w:rPr>
            </w:pPr>
          </w:p>
        </w:tc>
      </w:tr>
      <w:tr>
        <w:trPr>
          <w:trHeight w:val="205"/>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- 1-4 family mortgage</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First lien</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3,263</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205"/>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Junior lien</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6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Home equity</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6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real estate – 1-4 family mortgage</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3,763</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190"/>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real estate - owner occupied</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21,165</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21,165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3,661</w:t>
            </w:r>
          </w:p>
        </w:tc>
        <w:tc>
          <w:tcPr>
            <w:tcW w:w="0" w:type="dxa"/>
            <w:vAlign w:val="bottom"/>
          </w:tcPr>
          <w:p>
            <w:pPr>
              <w:spacing w:after="0"/>
              <w:rPr>
                <w:sz w:val="1"/>
                <w:szCs w:val="1"/>
                <w:color w:val="auto"/>
              </w:rPr>
            </w:pPr>
          </w:p>
        </w:tc>
      </w:tr>
      <w:tr>
        <w:trPr>
          <w:trHeight w:val="205"/>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real estate - non-owner occupied</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Multi family</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48,049</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48,049</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10,999</w:t>
            </w:r>
          </w:p>
        </w:tc>
        <w:tc>
          <w:tcPr>
            <w:tcW w:w="0" w:type="dxa"/>
            <w:vAlign w:val="bottom"/>
          </w:tcPr>
          <w:p>
            <w:pPr>
              <w:spacing w:after="0"/>
              <w:rPr>
                <w:sz w:val="1"/>
                <w:szCs w:val="1"/>
                <w:color w:val="auto"/>
              </w:rPr>
            </w:pPr>
          </w:p>
        </w:tc>
      </w:tr>
      <w:tr>
        <w:trPr>
          <w:trHeight w:val="183"/>
        </w:trPr>
        <w:tc>
          <w:tcPr>
            <w:tcW w:w="6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commercial real estate - non-owner occupied</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48,049</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48,049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10,999</w:t>
            </w:r>
          </w:p>
        </w:tc>
        <w:tc>
          <w:tcPr>
            <w:tcW w:w="0" w:type="dxa"/>
            <w:vAlign w:val="bottom"/>
          </w:tcPr>
          <w:p>
            <w:pPr>
              <w:spacing w:after="0"/>
              <w:rPr>
                <w:sz w:val="1"/>
                <w:szCs w:val="1"/>
                <w:color w:val="auto"/>
              </w:rPr>
            </w:pPr>
          </w:p>
        </w:tc>
      </w:tr>
      <w:tr>
        <w:trPr>
          <w:trHeight w:val="205"/>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0" w:type="dxa"/>
            <w:vAlign w:val="bottom"/>
          </w:tcPr>
          <w:p>
            <w:pPr>
              <w:spacing w:after="0"/>
              <w:rPr>
                <w:sz w:val="1"/>
                <w:szCs w:val="1"/>
                <w:color w:val="auto"/>
              </w:rPr>
            </w:pPr>
          </w:p>
        </w:tc>
      </w:tr>
      <w:tr>
        <w:trPr>
          <w:trHeight w:val="184"/>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net of unearned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85,585</w:t>
            </w:r>
          </w:p>
        </w:tc>
        <w:tc>
          <w:tcPr>
            <w:tcW w:w="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47,130</w:t>
            </w:r>
          </w:p>
        </w:tc>
        <w:tc>
          <w:tcPr>
            <w:tcW w:w="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132,715</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21,435</w:t>
            </w:r>
          </w:p>
        </w:tc>
        <w:tc>
          <w:tcPr>
            <w:tcW w:w="0" w:type="dxa"/>
            <w:vAlign w:val="bottom"/>
          </w:tcPr>
          <w:p>
            <w:pPr>
              <w:spacing w:after="0"/>
              <w:rPr>
                <w:sz w:val="1"/>
                <w:szCs w:val="1"/>
                <w:color w:val="auto"/>
              </w:rPr>
            </w:pPr>
          </w:p>
        </w:tc>
      </w:tr>
      <w:tr>
        <w:trPr>
          <w:trHeight w:val="26"/>
        </w:trPr>
        <w:tc>
          <w:tcPr>
            <w:tcW w:w="6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Allowance for Credit Losses (continued)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00" w:type="dxa"/>
            <w:vAlign w:val="bottom"/>
            <w:gridSpan w:val="3"/>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Collateral Type</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2"/>
                <w:szCs w:val="2"/>
                <w:color w:val="auto"/>
              </w:rPr>
            </w:pPr>
          </w:p>
        </w:tc>
        <w:tc>
          <w:tcPr>
            <w:tcW w:w="960" w:type="dxa"/>
            <w:vAlign w:val="bottom"/>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0" w:type="dxa"/>
            <w:vAlign w:val="bottom"/>
          </w:tcPr>
          <w:p>
            <w:pPr>
              <w:spacing w:after="0"/>
              <w:rPr>
                <w:sz w:val="1"/>
                <w:szCs w:val="1"/>
                <w:color w:val="auto"/>
              </w:rPr>
            </w:pPr>
          </w:p>
        </w:tc>
      </w:tr>
      <w:tr>
        <w:trPr>
          <w:trHeight w:val="184"/>
        </w:trPr>
        <w:tc>
          <w:tcPr>
            <w:tcW w:w="6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260" w:type="dxa"/>
            <w:vAlign w:val="bottom"/>
          </w:tcPr>
          <w:p>
            <w:pPr>
              <w:spacing w:after="0"/>
              <w:rPr>
                <w:sz w:val="16"/>
                <w:szCs w:val="16"/>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13,794</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13,794</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5,160</w:t>
            </w:r>
          </w:p>
        </w:tc>
        <w:tc>
          <w:tcPr>
            <w:tcW w:w="0" w:type="dxa"/>
            <w:vAlign w:val="bottom"/>
          </w:tcPr>
          <w:p>
            <w:pPr>
              <w:spacing w:after="0"/>
              <w:rPr>
                <w:sz w:val="1"/>
                <w:szCs w:val="1"/>
                <w:color w:val="auto"/>
              </w:rPr>
            </w:pPr>
          </w:p>
        </w:tc>
      </w:tr>
      <w:tr>
        <w:trPr>
          <w:trHeight w:val="205"/>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Construction and land development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Residential</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3,016</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3,016</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6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construction and land development</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3,257</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- 1-4 family mortgage</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First lien</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6,298</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Junior lien</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6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Home equity</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6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real estate – 1-4 family mortgage</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6,576</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real estate - owner occupied</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13,891</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13,891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4,063</w:t>
            </w:r>
          </w:p>
        </w:tc>
        <w:tc>
          <w:tcPr>
            <w:tcW w:w="0" w:type="dxa"/>
            <w:vAlign w:val="bottom"/>
          </w:tcPr>
          <w:p>
            <w:pPr>
              <w:spacing w:after="0"/>
              <w:rPr>
                <w:sz w:val="1"/>
                <w:szCs w:val="1"/>
                <w:color w:val="auto"/>
              </w:rPr>
            </w:pPr>
          </w:p>
        </w:tc>
      </w:tr>
      <w:tr>
        <w:trPr>
          <w:trHeight w:val="205"/>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real estate - non-owner occupied</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Multi family</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28,275</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28,275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5,559</w:t>
            </w:r>
          </w:p>
        </w:tc>
        <w:tc>
          <w:tcPr>
            <w:tcW w:w="0" w:type="dxa"/>
            <w:vAlign w:val="bottom"/>
          </w:tcPr>
          <w:p>
            <w:pPr>
              <w:spacing w:after="0"/>
              <w:rPr>
                <w:sz w:val="1"/>
                <w:szCs w:val="1"/>
                <w:color w:val="auto"/>
              </w:rPr>
            </w:pPr>
          </w:p>
        </w:tc>
      </w:tr>
      <w:tr>
        <w:trPr>
          <w:trHeight w:val="183"/>
        </w:trPr>
        <w:tc>
          <w:tcPr>
            <w:tcW w:w="6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commercial real estate - non-owner occupied</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28,275</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28,275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5,559</w:t>
            </w:r>
          </w:p>
        </w:tc>
        <w:tc>
          <w:tcPr>
            <w:tcW w:w="0" w:type="dxa"/>
            <w:vAlign w:val="bottom"/>
          </w:tcPr>
          <w:p>
            <w:pPr>
              <w:spacing w:after="0"/>
              <w:rPr>
                <w:sz w:val="1"/>
                <w:szCs w:val="1"/>
                <w:color w:val="auto"/>
              </w:rPr>
            </w:pPr>
          </w:p>
        </w:tc>
      </w:tr>
      <w:tr>
        <w:trPr>
          <w:trHeight w:val="205"/>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0" w:type="dxa"/>
            <w:vAlign w:val="bottom"/>
          </w:tcPr>
          <w:p>
            <w:pPr>
              <w:spacing w:after="0"/>
              <w:rPr>
                <w:sz w:val="1"/>
                <w:szCs w:val="1"/>
                <w:color w:val="auto"/>
              </w:rPr>
            </w:pPr>
          </w:p>
        </w:tc>
      </w:tr>
      <w:tr>
        <w:trPr>
          <w:trHeight w:val="184"/>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net of unearned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51,999</w:t>
            </w:r>
          </w:p>
        </w:tc>
        <w:tc>
          <w:tcPr>
            <w:tcW w:w="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14,064</w:t>
            </w:r>
          </w:p>
        </w:tc>
        <w:tc>
          <w:tcPr>
            <w:tcW w:w="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66,063</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15,052</w:t>
            </w:r>
          </w:p>
        </w:tc>
        <w:tc>
          <w:tcPr>
            <w:tcW w:w="0" w:type="dxa"/>
            <w:vAlign w:val="bottom"/>
          </w:tcPr>
          <w:p>
            <w:pPr>
              <w:spacing w:after="0"/>
              <w:rPr>
                <w:sz w:val="1"/>
                <w:szCs w:val="1"/>
                <w:color w:val="auto"/>
              </w:rPr>
            </w:pPr>
          </w:p>
        </w:tc>
      </w:tr>
      <w:tr>
        <w:trPr>
          <w:trHeight w:val="26"/>
        </w:trPr>
        <w:tc>
          <w:tcPr>
            <w:tcW w:w="6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increase in collateral dependent loans from December 31, 2024 is primarily due to acquired collateral dependent loans from The First and the migration of a large relationship resulting from a bankruptcy.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 on Unfunded Loan Commitments</w:t>
      </w:r>
    </w:p>
    <w:p>
      <w:pPr>
        <w:spacing w:after="0" w:line="21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following table provides a roll-forward of the allowance for credit losses on unfunded loan commitments included in “Other liabilities” in the Consolidated Balance Sheets for the periods presented.</w:t>
      </w:r>
    </w:p>
    <w:p>
      <w:pPr>
        <w:sectPr>
          <w:pgSz w:w="11900" w:h="16838" w:orient="portrait"/>
          <w:cols w:equalWidth="0" w:num="1">
            <w:col w:w="11240"/>
          </w:cols>
          <w:pgMar w:left="320" w:top="35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Allowance for credit losses on unfunded loan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035800" cy="1422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035800" cy="14224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Beginning balance</w:t>
      </w:r>
    </w:p>
    <w:p>
      <w:pPr>
        <w:spacing w:after="0" w:line="17" w:lineRule="exact"/>
        <w:rPr>
          <w:sz w:val="20"/>
          <w:szCs w:val="20"/>
          <w:color w:val="auto"/>
        </w:rPr>
      </w:pPr>
    </w:p>
    <w:p>
      <w:pPr>
        <w:ind w:left="20" w:right="3000"/>
        <w:spacing w:after="0" w:line="278" w:lineRule="auto"/>
        <w:rPr>
          <w:sz w:val="20"/>
          <w:szCs w:val="20"/>
          <w:color w:val="auto"/>
        </w:rPr>
      </w:pPr>
      <w:r>
        <w:rPr>
          <w:rFonts w:ascii="Times New Roman" w:cs="Times New Roman" w:eastAsia="Times New Roman" w:hAnsi="Times New Roman"/>
          <w:sz w:val="18"/>
          <w:szCs w:val="18"/>
          <w:color w:val="auto"/>
        </w:rPr>
        <w:t>Provision for (reversal of) credit losses on unfunded loan commitments Ending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7035800" cy="1422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035800" cy="14224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Premises and Equipment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Bank premises and equipment at December 31 are summarized as follows: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2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760" w:type="dxa"/>
            <w:vAlign w:val="bottom"/>
          </w:tcPr>
          <w:p>
            <w:pPr>
              <w:spacing w:after="0"/>
              <w:rPr>
                <w:sz w:val="18"/>
                <w:szCs w:val="18"/>
                <w:color w:val="auto"/>
              </w:rPr>
            </w:pPr>
          </w:p>
        </w:tc>
      </w:tr>
      <w:tr>
        <w:trPr>
          <w:trHeight w:val="213"/>
        </w:trPr>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424"/>
        </w:trPr>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14,943</w:t>
            </w:r>
          </w:p>
        </w:tc>
        <w:tc>
          <w:tcPr>
            <w:tcW w:w="44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16,918</w:t>
            </w:r>
          </w:p>
        </w:tc>
      </w:tr>
      <w:tr>
        <w:trPr>
          <w:trHeight w:val="229"/>
        </w:trPr>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14,884</w:t>
            </w: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98"/>
              </w:rPr>
              <w:t>(1,975)</w:t>
            </w:r>
          </w:p>
        </w:tc>
      </w:tr>
      <w:tr>
        <w:trPr>
          <w:trHeight w:val="217"/>
        </w:trPr>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29,827</w:t>
            </w:r>
          </w:p>
        </w:tc>
        <w:tc>
          <w:tcPr>
            <w:tcW w:w="4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14,943</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80"/>
        <w:spacing w:after="0"/>
        <w:tabs>
          <w:tab w:leader="none" w:pos="160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8" w:lineRule="exact"/>
        <w:rPr>
          <w:sz w:val="20"/>
          <w:szCs w:val="20"/>
          <w:color w:val="auto"/>
        </w:rPr>
      </w:pPr>
    </w:p>
    <w:p>
      <w:pPr>
        <w:sectPr>
          <w:pgSz w:w="11900" w:h="16838" w:orient="portrait"/>
          <w:cols w:equalWidth="0" w:num="2">
            <w:col w:w="8020" w:space="720"/>
            <w:col w:w="2500"/>
          </w:cols>
          <w:pgMar w:left="320" w:top="358"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8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Premises</w:t>
            </w:r>
          </w:p>
        </w:tc>
        <w:tc>
          <w:tcPr>
            <w:tcW w:w="420" w:type="dxa"/>
            <w:vAlign w:val="bottom"/>
            <w:tcBorders>
              <w:top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426,121</w:t>
            </w:r>
          </w:p>
        </w:tc>
        <w:tc>
          <w:tcPr>
            <w:tcW w:w="10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262,536</w:t>
            </w: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43,950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37,155</w:t>
            </w: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equipment</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84,941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70,197</w:t>
            </w: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28,577</w:t>
            </w: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 equipment</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24"/>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Lease right-of-use assets</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55,920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46,811</w:t>
            </w:r>
          </w:p>
        </w:tc>
      </w:tr>
      <w:tr>
        <w:trPr>
          <w:trHeight w:val="21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649,888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445,456</w:t>
            </w:r>
          </w:p>
        </w:tc>
      </w:tr>
      <w:tr>
        <w:trPr>
          <w:trHeight w:val="224"/>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(184,747)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(165,660)</w:t>
            </w:r>
          </w:p>
        </w:tc>
      </w:tr>
      <w:tr>
        <w:trPr>
          <w:trHeight w:val="242"/>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465,141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279,796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5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16089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type w:val="continuous"/>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Premises and Equipment (continued)</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$21,087, $14,911 and $14,881 for the years ended December 31, 2025, 2024 and 2023, respectively.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24, “Leases,” for further details regarding the Company’s right-of-use assets.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Other Real Estate Owned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6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The following table provides details of the Company’s other real estate owned (“OREO”), net of valuation allowances and direct write-downs, as of the dates presented: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Pr>
          <w:p>
            <w:pPr>
              <w:spacing w:after="0"/>
              <w:rPr>
                <w:sz w:val="16"/>
                <w:szCs w:val="16"/>
                <w:color w:val="auto"/>
              </w:rPr>
            </w:pPr>
          </w:p>
        </w:tc>
        <w:tc>
          <w:tcPr>
            <w:tcW w:w="13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4"/>
        </w:trPr>
        <w:tc>
          <w:tcPr>
            <w:tcW w:w="8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0" w:type="dxa"/>
            <w:vAlign w:val="bottom"/>
          </w:tcPr>
          <w:p>
            <w:pPr>
              <w:spacing w:after="0"/>
              <w:rPr>
                <w:sz w:val="1"/>
                <w:szCs w:val="1"/>
                <w:color w:val="auto"/>
              </w:rPr>
            </w:pP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5,681</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land development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4"/>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Commercial land development</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2"/>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8,673</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Changes in the Company’s OREO were as follows for the periods presented:</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82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8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center"/>
              <w:ind w:right="35"/>
              <w:spacing w:after="0" w:line="15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91"/>
        </w:trPr>
        <w:tc>
          <w:tcPr>
            <w:tcW w:w="826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OREO</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9,622</w:t>
            </w:r>
          </w:p>
        </w:tc>
        <w:tc>
          <w:tcPr>
            <w:tcW w:w="0" w:type="dxa"/>
            <w:vAlign w:val="bottom"/>
          </w:tcPr>
          <w:p>
            <w:pPr>
              <w:spacing w:after="0"/>
              <w:rPr>
                <w:sz w:val="1"/>
                <w:szCs w:val="1"/>
                <w:color w:val="auto"/>
              </w:rPr>
            </w:pP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Transfers of loans</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24"/>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Dispositions</w:t>
            </w:r>
          </w:p>
        </w:tc>
        <w:tc>
          <w:tcPr>
            <w:tcW w:w="14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(3,123)</w:t>
            </w:r>
          </w:p>
        </w:tc>
        <w:tc>
          <w:tcPr>
            <w:tcW w:w="0" w:type="dxa"/>
            <w:vAlign w:val="bottom"/>
          </w:tcPr>
          <w:p>
            <w:pPr>
              <w:spacing w:after="0"/>
              <w:rPr>
                <w:sz w:val="1"/>
                <w:szCs w:val="1"/>
                <w:color w:val="auto"/>
              </w:rPr>
            </w:pPr>
          </w:p>
        </w:tc>
      </w:tr>
      <w:tr>
        <w:trPr>
          <w:trHeight w:val="21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8,673</w:t>
            </w:r>
          </w:p>
        </w:tc>
        <w:tc>
          <w:tcPr>
            <w:tcW w:w="0" w:type="dxa"/>
            <w:vAlign w:val="bottom"/>
          </w:tcPr>
          <w:p>
            <w:pPr>
              <w:spacing w:after="0"/>
              <w:rPr>
                <w:sz w:val="1"/>
                <w:szCs w:val="1"/>
                <w:color w:val="auto"/>
              </w:rPr>
            </w:pP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OREO</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11,032</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Transfers of loans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12,341</w:t>
            </w:r>
          </w:p>
        </w:tc>
        <w:tc>
          <w:tcPr>
            <w:tcW w:w="0" w:type="dxa"/>
            <w:vAlign w:val="bottom"/>
          </w:tcPr>
          <w:p>
            <w:pPr>
              <w:spacing w:after="0"/>
              <w:rPr>
                <w:sz w:val="1"/>
                <w:szCs w:val="1"/>
                <w:color w:val="auto"/>
              </w:rPr>
            </w:pP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Impairments</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Dispositions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(16,190)</w:t>
            </w:r>
          </w:p>
        </w:tc>
        <w:tc>
          <w:tcPr>
            <w:tcW w:w="0" w:type="dxa"/>
            <w:vAlign w:val="bottom"/>
          </w:tcPr>
          <w:p>
            <w:pPr>
              <w:spacing w:after="0"/>
              <w:rPr>
                <w:sz w:val="1"/>
                <w:szCs w:val="1"/>
                <w:color w:val="auto"/>
              </w:rPr>
            </w:pPr>
          </w:p>
        </w:tc>
      </w:tr>
      <w:tr>
        <w:trPr>
          <w:trHeight w:val="217"/>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15,191</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At December 31, 2025 and 2024, the amortized cost of loans secured by Real Estate - 1-4 Family Mortgage in the process of foreclosure was $10,552 and $505, respectively.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the line item “Other real estate owned” in the Consolidated Statements of Income were as follows, as of the dates presented: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7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Repairs and maintenance</w:t>
            </w:r>
          </w:p>
        </w:tc>
        <w:tc>
          <w:tcPr>
            <w:tcW w:w="920" w:type="dxa"/>
            <w:vAlign w:val="bottom"/>
            <w:shd w:val="clear" w:color="auto" w:fill="CCEEFF"/>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4"/>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taxes and insurance</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24"/>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4"/>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gains on OREO sales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24"/>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income</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7"/>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0"/>
        </w:trPr>
        <w:tc>
          <w:tcPr>
            <w:tcW w:w="67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Goodwill and Other Intangible Assets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during the years ended December 31, 2025 were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Community Banks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
        </w:trPr>
        <w:tc>
          <w:tcPr>
            <w:tcW w:w="68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988,898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991,665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8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Sale of the insurance agency</w:t>
            </w: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988,898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988,898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Additions to goodwill from The First merger</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418,196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418,196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Divestiture of SGIS</w:t>
            </w: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1,405,840</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1,405,840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w w:val="97"/>
              </w:rPr>
              <w:t>The following table provides a summary of finite-lived intangible assets as of the dates presented:</w:t>
            </w: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88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6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91"/>
        </w:trPr>
        <w:tc>
          <w:tcPr>
            <w:tcW w:w="6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w w:val="97"/>
              </w:rPr>
              <w:t>Amortization</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Core deposit intangible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(97,936)</w:t>
            </w:r>
          </w:p>
        </w:tc>
        <w:tc>
          <w:tcPr>
            <w:tcW w:w="32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 intangible</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249,772</w:t>
            </w:r>
          </w:p>
        </w:tc>
        <w:tc>
          <w:tcPr>
            <w:tcW w:w="10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(103,160)</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86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b w:val="1"/>
                <w:bCs w:val="1"/>
                <w:color w:val="auto"/>
              </w:rPr>
              <w:t>December 31, 2024</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Core deposit intangible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82,492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(71,881)</w:t>
            </w:r>
          </w:p>
        </w:tc>
        <w:tc>
          <w:tcPr>
            <w:tcW w:w="32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 intangible</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90,162</w:t>
            </w:r>
          </w:p>
        </w:tc>
        <w:tc>
          <w:tcPr>
            <w:tcW w:w="10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(76,057)</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Total intangible amortization expense, which includes amortization expense for both core deposit intangibles and customer relationship intangibles, for the years ended December 31, 2025, 2024 and 2023 was $27,103, $4,691 and $5,380, respectively.</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remaining weighted average life of finite-lived intangible assets is 8.84 years at December 31, 2025. The remaining weighted average life of finite-lived intangible assets acquired during 2025 is 9.25 years at December 31, 2025. The estimated amortization expense of finite-lived intangible assets for the five succeeding fiscal years is summarized as follows:</w:t>
      </w:r>
    </w:p>
    <w:tbl>
      <w:tblPr>
        <w:tblLayout w:type="fixed"/>
        <w:tblInd w:w="0" w:type="dxa"/>
        <w:tblCellMar>
          <w:top w:w="0" w:type="dxa"/>
          <w:left w:w="0" w:type="dxa"/>
          <w:bottom w:w="0" w:type="dxa"/>
          <w:right w:w="0" w:type="dxa"/>
        </w:tblCellMar>
      </w:tblPr>
      <w:tr>
        <w:trPr>
          <w:trHeight w:val="147"/>
        </w:trPr>
        <w:tc>
          <w:tcPr>
            <w:tcW w:w="6300" w:type="dxa"/>
            <w:vAlign w:val="bottom"/>
          </w:tcPr>
          <w:p>
            <w:pPr>
              <w:spacing w:after="0"/>
              <w:rPr>
                <w:sz w:val="12"/>
                <w:szCs w:val="12"/>
                <w:color w:val="auto"/>
              </w:rPr>
            </w:pPr>
          </w:p>
        </w:tc>
        <w:tc>
          <w:tcPr>
            <w:tcW w:w="1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Core Deposit Intangible</w:t>
            </w:r>
          </w:p>
        </w:tc>
        <w:tc>
          <w:tcPr>
            <w:tcW w:w="1700" w:type="dxa"/>
            <w:vAlign w:val="bottom"/>
            <w:gridSpan w:val="3"/>
          </w:tcPr>
          <w:p>
            <w:pPr>
              <w:jc w:val="center"/>
              <w:ind w:right="160"/>
              <w:spacing w:after="0" w:line="147" w:lineRule="exact"/>
              <w:rPr>
                <w:sz w:val="20"/>
                <w:szCs w:val="20"/>
                <w:color w:val="auto"/>
              </w:rPr>
            </w:pPr>
            <w:r>
              <w:rPr>
                <w:rFonts w:ascii="Times New Roman" w:cs="Times New Roman" w:eastAsia="Times New Roman" w:hAnsi="Times New Roman"/>
                <w:sz w:val="14"/>
                <w:szCs w:val="14"/>
                <w:b w:val="1"/>
                <w:bCs w:val="1"/>
                <w:color w:val="auto"/>
                <w:w w:val="99"/>
              </w:rPr>
              <w:t>Customer Relationship</w:t>
            </w:r>
          </w:p>
        </w:tc>
        <w:tc>
          <w:tcPr>
            <w:tcW w:w="360" w:type="dxa"/>
            <w:vAlign w:val="bottom"/>
          </w:tcPr>
          <w:p>
            <w:pPr>
              <w:spacing w:after="0"/>
              <w:rPr>
                <w:sz w:val="12"/>
                <w:szCs w:val="12"/>
                <w:color w:val="auto"/>
              </w:rPr>
            </w:pPr>
          </w:p>
        </w:tc>
        <w:tc>
          <w:tcPr>
            <w:tcW w:w="1180" w:type="dxa"/>
            <w:vAlign w:val="bottom"/>
            <w:vMerge w:val="restart"/>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6300" w:type="dxa"/>
            <w:vAlign w:val="bottom"/>
          </w:tcPr>
          <w:p>
            <w:pPr>
              <w:spacing w:after="0"/>
              <w:rPr>
                <w:sz w:val="16"/>
                <w:szCs w:val="16"/>
                <w:color w:val="auto"/>
              </w:rPr>
            </w:pPr>
          </w:p>
        </w:tc>
        <w:tc>
          <w:tcPr>
            <w:tcW w:w="170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Intangible</w:t>
            </w:r>
          </w:p>
        </w:tc>
        <w:tc>
          <w:tcPr>
            <w:tcW w:w="3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Borders>
              <w:top w:val="single" w:sz="8" w:color="auto"/>
            </w:tcBorders>
            <w:shd w:val="clear" w:color="auto" w:fill="CCEEFF"/>
          </w:tcPr>
          <w:p>
            <w:pPr>
              <w:jc w:val="right"/>
              <w:ind w:right="318"/>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30,732</w:t>
            </w:r>
          </w:p>
        </w:tc>
        <w:tc>
          <w:tcPr>
            <w:tcW w:w="1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31,592</w:t>
            </w:r>
          </w:p>
        </w:tc>
        <w:tc>
          <w:tcPr>
            <w:tcW w:w="0" w:type="dxa"/>
            <w:vAlign w:val="bottom"/>
          </w:tcPr>
          <w:p>
            <w:pPr>
              <w:spacing w:after="0"/>
              <w:rPr>
                <w:sz w:val="1"/>
                <w:szCs w:val="1"/>
                <w:color w:val="auto"/>
              </w:rPr>
            </w:pPr>
          </w:p>
        </w:tc>
      </w:tr>
      <w:tr>
        <w:trPr>
          <w:trHeight w:val="224"/>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28,069</w:t>
            </w:r>
          </w:p>
        </w:tc>
        <w:tc>
          <w:tcPr>
            <w:tcW w:w="0" w:type="dxa"/>
            <w:vAlign w:val="bottom"/>
          </w:tcPr>
          <w:p>
            <w:pPr>
              <w:spacing w:after="0"/>
              <w:rPr>
                <w:sz w:val="1"/>
                <w:szCs w:val="1"/>
                <w:color w:val="auto"/>
              </w:rPr>
            </w:pPr>
          </w:p>
        </w:tc>
      </w:tr>
      <w:tr>
        <w:trPr>
          <w:trHeight w:val="224"/>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23,337</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23,820</w:t>
            </w:r>
          </w:p>
        </w:tc>
        <w:tc>
          <w:tcPr>
            <w:tcW w:w="0" w:type="dxa"/>
            <w:vAlign w:val="bottom"/>
          </w:tcPr>
          <w:p>
            <w:pPr>
              <w:spacing w:after="0"/>
              <w:rPr>
                <w:sz w:val="1"/>
                <w:szCs w:val="1"/>
                <w:color w:val="auto"/>
              </w:rPr>
            </w:pPr>
          </w:p>
        </w:tc>
      </w:tr>
      <w:tr>
        <w:trPr>
          <w:trHeight w:val="224"/>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18,335</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18,666</w:t>
            </w:r>
          </w:p>
        </w:tc>
        <w:tc>
          <w:tcPr>
            <w:tcW w:w="0" w:type="dxa"/>
            <w:vAlign w:val="bottom"/>
          </w:tcPr>
          <w:p>
            <w:pPr>
              <w:spacing w:after="0"/>
              <w:rPr>
                <w:sz w:val="1"/>
                <w:szCs w:val="1"/>
                <w:color w:val="auto"/>
              </w:rPr>
            </w:pPr>
          </w:p>
        </w:tc>
      </w:tr>
      <w:tr>
        <w:trPr>
          <w:trHeight w:val="224"/>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15,169</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15,313</w:t>
            </w:r>
          </w:p>
        </w:tc>
        <w:tc>
          <w:tcPr>
            <w:tcW w:w="0" w:type="dxa"/>
            <w:vAlign w:val="bottom"/>
          </w:tcPr>
          <w:p>
            <w:pPr>
              <w:spacing w:after="0"/>
              <w:rPr>
                <w:sz w:val="1"/>
                <w:szCs w:val="1"/>
                <w:color w:val="auto"/>
              </w:rPr>
            </w:pPr>
          </w:p>
        </w:tc>
      </w:tr>
      <w:tr>
        <w:trPr>
          <w:trHeight w:val="224"/>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29,152</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29,152</w:t>
            </w:r>
          </w:p>
        </w:tc>
        <w:tc>
          <w:tcPr>
            <w:tcW w:w="0" w:type="dxa"/>
            <w:vAlign w:val="bottom"/>
          </w:tcPr>
          <w:p>
            <w:pPr>
              <w:spacing w:after="0"/>
              <w:rPr>
                <w:sz w:val="1"/>
                <w:szCs w:val="1"/>
                <w:color w:val="auto"/>
              </w:rPr>
            </w:pPr>
          </w:p>
        </w:tc>
      </w:tr>
      <w:tr>
        <w:trPr>
          <w:trHeight w:val="242"/>
        </w:trPr>
        <w:tc>
          <w:tcPr>
            <w:tcW w:w="6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top w:val="single" w:sz="8" w:color="auto"/>
              <w:bottom w:val="single" w:sz="8" w:color="auto"/>
            </w:tcBorders>
            <w:shd w:val="clear" w:color="auto" w:fill="CCEEFF"/>
          </w:tcPr>
          <w:p>
            <w:pPr>
              <w:jc w:val="right"/>
              <w:ind w:right="318"/>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144,166</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146,612</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impairment was identified for the Company’s goodwill or its other intangible assets as a result of the testing performed during 2025, 2024 or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11"/>
        </w:trPr>
        <w:tc>
          <w:tcPr>
            <w:tcW w:w="9800" w:type="dxa"/>
            <w:vAlign w:val="bottom"/>
          </w:tcPr>
          <w:p>
            <w:pPr>
              <w:ind w:left="4260"/>
              <w:spacing w:after="0"/>
              <w:rPr>
                <w:sz w:val="20"/>
                <w:szCs w:val="20"/>
                <w:color w:val="auto"/>
              </w:rPr>
            </w:pPr>
            <w:r>
              <w:rPr>
                <w:rFonts w:ascii="Times New Roman" w:cs="Times New Roman" w:eastAsia="Times New Roman" w:hAnsi="Times New Roman"/>
                <w:sz w:val="18"/>
                <w:szCs w:val="18"/>
                <w:color w:val="auto"/>
              </w:rPr>
              <w:t>Renasant Corporation and Subsidiaries</w:t>
            </w: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8"/>
        </w:trPr>
        <w:tc>
          <w:tcPr>
            <w:tcW w:w="9800" w:type="dxa"/>
            <w:vAlign w:val="bottom"/>
          </w:tcPr>
          <w:p>
            <w:pPr>
              <w:ind w:left="408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737"/>
        </w:trPr>
        <w:tc>
          <w:tcPr>
            <w:tcW w:w="9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 Mortgage Servicing Rights</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68"/>
        </w:trPr>
        <w:tc>
          <w:tcPr>
            <w:tcW w:w="98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68"/>
        </w:trPr>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Changes in the Company’s mortgage servicing rights (“MSRs”) were as follows, for the periods presented:</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5"/>
        </w:trPr>
        <w:tc>
          <w:tcPr>
            <w:tcW w:w="9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24"/>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value at January 1, 2024</w:t>
            </w:r>
          </w:p>
        </w:tc>
        <w:tc>
          <w:tcPr>
            <w:tcW w:w="4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91,688</w:t>
            </w:r>
          </w:p>
        </w:tc>
      </w:tr>
      <w:tr>
        <w:trPr>
          <w:trHeight w:val="224"/>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 of MSRs</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(19,539)</w:t>
            </w:r>
          </w:p>
        </w:tc>
      </w:tr>
      <w:tr>
        <w:trPr>
          <w:trHeight w:val="224"/>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10,195</w:t>
            </w:r>
          </w:p>
        </w:tc>
      </w:tr>
      <w:tr>
        <w:trPr>
          <w:trHeight w:val="224"/>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(9,353)</w:t>
            </w:r>
          </w:p>
        </w:tc>
      </w:tr>
      <w:tr>
        <w:trPr>
          <w:trHeight w:val="217"/>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value at December 31, 2024</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72,991</w:t>
            </w:r>
          </w:p>
        </w:tc>
      </w:tr>
      <w:tr>
        <w:trPr>
          <w:trHeight w:val="224"/>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 of MSRs</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(7,886)</w:t>
            </w:r>
          </w:p>
        </w:tc>
      </w:tr>
      <w:tr>
        <w:trPr>
          <w:trHeight w:val="224"/>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9,144</w:t>
            </w:r>
          </w:p>
        </w:tc>
      </w:tr>
      <w:tr>
        <w:trPr>
          <w:trHeight w:val="224"/>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(8,978)</w:t>
            </w:r>
          </w:p>
        </w:tc>
      </w:tr>
      <w:tr>
        <w:trPr>
          <w:trHeight w:val="242"/>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value at December 31, 2025</w:t>
            </w: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65,271</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gains recognized on the sale of MSRs are included in “Mortgage banking income” in the Consolidated Statements of Income. During 2025, the Company sold a portion of its MSR portfolio for net proceeds of $9,353, resulting in a gain of $1,467. During 2024, the Company sold a portion of its MSR portfolio for net proceeds of $23,011, resulting in a gain of $3,472.</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 and key economic assumptions related to the Company’s mortgage servicing rights as of December 31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0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7"/>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Unpaid principal balance</w:t>
            </w: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5,648,033</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6,008,937</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7,826,182</w:t>
            </w:r>
          </w:p>
        </w:tc>
      </w:tr>
      <w:tr>
        <w:trPr>
          <w:trHeight w:val="224"/>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prepayment speed (CPR)</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10.90 %</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9.48 %</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8.77 %</w:t>
            </w:r>
          </w:p>
        </w:tc>
      </w:tr>
      <w:tr>
        <w:trPr>
          <w:trHeight w:val="224"/>
        </w:trPr>
        <w:tc>
          <w:tcPr>
            <w:tcW w:w="6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Estimated impact of a 10% increase</w:t>
            </w: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(2,953)</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(3,134)</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(2,653)</w:t>
            </w:r>
          </w:p>
        </w:tc>
      </w:tr>
      <w:tr>
        <w:trPr>
          <w:trHeight w:val="228"/>
        </w:trPr>
        <w:tc>
          <w:tcPr>
            <w:tcW w:w="6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Estimated impact of a 20% increase</w:t>
            </w:r>
          </w:p>
        </w:tc>
        <w:tc>
          <w:tcPr>
            <w:tcW w:w="380" w:type="dxa"/>
            <w:vAlign w:val="bottom"/>
          </w:tcPr>
          <w:p>
            <w:pPr>
              <w:spacing w:after="0"/>
              <w:rPr>
                <w:sz w:val="19"/>
                <w:szCs w:val="19"/>
                <w:color w:val="auto"/>
              </w:rPr>
            </w:pP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(5,719)</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(6,062)</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(5,457)</w:t>
            </w:r>
          </w:p>
        </w:tc>
      </w:tr>
      <w:tr>
        <w:trPr>
          <w:trHeight w:val="48"/>
        </w:trPr>
        <w:tc>
          <w:tcPr>
            <w:tcW w:w="60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24"/>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9.85 %</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11.05 %</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10.85 %</w:t>
            </w:r>
          </w:p>
        </w:tc>
      </w:tr>
      <w:tr>
        <w:trPr>
          <w:trHeight w:val="224"/>
        </w:trPr>
        <w:tc>
          <w:tcPr>
            <w:tcW w:w="6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Estimated impact of a 100bp increase</w:t>
            </w: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(3,199)</w:t>
            </w:r>
          </w:p>
        </w:tc>
        <w:tc>
          <w:tcPr>
            <w:tcW w:w="16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(3,809)</w:t>
            </w:r>
          </w:p>
        </w:tc>
        <w:tc>
          <w:tcPr>
            <w:tcW w:w="16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(4,753)</w:t>
            </w:r>
          </w:p>
        </w:tc>
      </w:tr>
      <w:tr>
        <w:trPr>
          <w:trHeight w:val="224"/>
        </w:trPr>
        <w:tc>
          <w:tcPr>
            <w:tcW w:w="6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Estimated impact of a 200bp increase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(6,195)</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(7,336)</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(9,149)</w:t>
            </w:r>
          </w:p>
        </w:tc>
      </w:tr>
      <w:tr>
        <w:trPr>
          <w:trHeight w:val="276"/>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coupon interest rate</w:t>
            </w:r>
          </w:p>
        </w:tc>
        <w:tc>
          <w:tcPr>
            <w:tcW w:w="3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4.59 %</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4.29 %</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3.88 %</w:t>
            </w:r>
          </w:p>
        </w:tc>
      </w:tr>
      <w:tr>
        <w:trPr>
          <w:trHeight w:val="224"/>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servicing fee (basis points)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33.86</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35.91</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33.24</w:t>
            </w:r>
          </w:p>
        </w:tc>
      </w:tr>
      <w:tr>
        <w:trPr>
          <w:trHeight w:val="228"/>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maturity (in years)</w:t>
            </w:r>
          </w:p>
        </w:tc>
        <w:tc>
          <w:tcPr>
            <w:tcW w:w="38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6.80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7.30</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7.50</w:t>
            </w:r>
          </w:p>
        </w:tc>
      </w:tr>
    </w:tbl>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movement of mortgage interest rates has an inverse relationship with prepayment speeds and discount rates.</w:t>
      </w:r>
    </w:p>
    <w:p>
      <w:pPr>
        <w:spacing w:after="0" w:line="21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Company recorded servicing fees of $12,456, $15,177 and $18,081, for the twelve months ended December 31, 2025, 2024 and 2023, respectively. These fees are included under the line item “Mortgage banking income” 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Deposits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deposits as of December 31:</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5,043,960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3,403,981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40" w:type="dxa"/>
            <w:vAlign w:val="bottom"/>
          </w:tcPr>
          <w:p>
            <w:pPr>
              <w:spacing w:after="0" w:line="224" w:lineRule="exact"/>
              <w:rPr>
                <w:sz w:val="20"/>
                <w:szCs w:val="20"/>
                <w:color w:val="auto"/>
              </w:rPr>
            </w:pPr>
            <w:r>
              <w:rPr>
                <w:rFonts w:ascii="Times New Roman" w:cs="Times New Roman" w:eastAsia="Times New Roman" w:hAnsi="Times New Roman"/>
                <w:sz w:val="18"/>
                <w:szCs w:val="18"/>
                <w:color w:val="auto"/>
              </w:rPr>
              <w:t>Interest-bearing demand deposits</w:t>
            </w:r>
            <w:r>
              <w:rPr>
                <w:rFonts w:ascii="Times New Roman" w:cs="Times New Roman" w:eastAsia="Times New Roman" w:hAnsi="Times New Roman"/>
                <w:sz w:val="22"/>
                <w:szCs w:val="22"/>
                <w:color w:val="auto"/>
                <w:vertAlign w:val="superscript"/>
              </w:rPr>
              <w:t>(1)</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11,665,185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7,879,917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Savings deposits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1,280,031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809,430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3,483,894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2,479,284</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0"/>
                <w:szCs w:val="20"/>
                <w:color w:val="auto"/>
              </w:rPr>
            </w:pPr>
          </w:p>
        </w:tc>
        <w:tc>
          <w:tcPr>
            <w:tcW w:w="8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deposits</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21,473,070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14,572,612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Interest-bearing demand deposits include interest-bearing transactional accounts and money market deposits.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82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approximate scheduled maturities of time deposits at December 31, 2025 are as follows: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3,317,995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94,851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13,214</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0"/>
                <w:szCs w:val="20"/>
                <w:color w:val="auto"/>
              </w:rPr>
            </w:pPr>
          </w:p>
        </w:tc>
        <w:tc>
          <w:tcPr>
            <w:tcW w:w="8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3,483,894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aggregate amount of time deposits in denominations of $250 or more at December 31, 2025 and 2024 was $1,195,120 and $827,329, respectively. Certain executive officers and directors and their respective affiliates had amounts on deposit with Renasant Bank of approximately $29,987 and $21,883 at December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Short-Term Borrowings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borrowings as of December 31 are summarized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
        </w:trPr>
        <w:tc>
          <w:tcPr>
            <w:tcW w:w="8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sold under agreements to repurchase</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8,018</w:t>
            </w:r>
          </w:p>
        </w:tc>
      </w:tr>
      <w:tr>
        <w:trPr>
          <w:trHeight w:val="224"/>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Federal Home Loan Bank short-term advances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42"/>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short-term borrowings</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555,774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108,018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Repurchase Agreements</w:t>
      </w:r>
    </w:p>
    <w:p>
      <w:pPr>
        <w:spacing w:after="0" w:line="21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Securities sold under agreements to repurchase (“repurchase agreements”) represent funds received from customers, generally on an overnight or continuous basis, which are collateralized by investment securities owned or, at times, borrowed and re-hypothecated by the Company. The securities used as collateral consist primarily of U.S. Government agency mortgage backed securities, U.S. Government agency collateralized mortgage obligations, obligations of U.S. Government agencies, and obligations of states and political subdivisions. All securities are maintained by the Company’s safekeeping agents. These securities are reviewed by the Company on a daily basis, and the Company may be required to provide additional collateral due to changes in the fair market value of these securities. The terms of the Company’s repurchase agreements are continuous but may be canceled at any time by the Company or the customer.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Funds Purchased</w:t>
      </w:r>
    </w:p>
    <w:p>
      <w:pPr>
        <w:spacing w:after="0" w:line="21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Federal funds purchased, of which there were none outstanding at December 31, 2025 and 2024, are short term borrowings, generally overnight borrowings, between financial institutions that are generally used to maintain reserve requirements at the Federal Reserve Bank or elsewhere.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FHLB and Federal Reserve Discount Window</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Short-term borrowings from the FHLB (i.e., advances with original maturities of less than one year) are used to meet anticipated short-term liquidity needs. The Company had availability on unused lines of credit with the FHLB of $5,574,759 at December 31, 2025. The Company also had credit available at the Federal Reserve Discount Window in the amount of $681,719.</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The  average  balances  and  cost  of  funds</w:t>
            </w:r>
          </w:p>
        </w:tc>
        <w:tc>
          <w:tcPr>
            <w:tcW w:w="2600" w:type="dxa"/>
            <w:vAlign w:val="bottom"/>
            <w:gridSpan w:val="6"/>
          </w:tcPr>
          <w:p>
            <w:pPr>
              <w:jc w:val="right"/>
              <w:ind w:right="56"/>
              <w:spacing w:after="0"/>
              <w:rPr>
                <w:sz w:val="20"/>
                <w:szCs w:val="20"/>
                <w:color w:val="auto"/>
              </w:rPr>
            </w:pPr>
            <w:r>
              <w:rPr>
                <w:rFonts w:ascii="Times New Roman" w:cs="Times New Roman" w:eastAsia="Times New Roman" w:hAnsi="Times New Roman"/>
                <w:sz w:val="18"/>
                <w:szCs w:val="18"/>
                <w:color w:val="auto"/>
              </w:rPr>
              <w:t>of  short-term  borrowings  for</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the</w:t>
            </w:r>
          </w:p>
        </w:tc>
        <w:tc>
          <w:tcPr>
            <w:tcW w:w="11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years  ending</w:t>
            </w:r>
          </w:p>
        </w:tc>
        <w:tc>
          <w:tcPr>
            <w:tcW w:w="1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December  31</w:t>
            </w: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are  summarized</w:t>
            </w:r>
          </w:p>
        </w:tc>
        <w:tc>
          <w:tcPr>
            <w:tcW w:w="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  follows:</w:t>
            </w:r>
          </w:p>
        </w:tc>
      </w:tr>
      <w:tr>
        <w:trPr>
          <w:trHeight w:val="201"/>
        </w:trPr>
        <w:tc>
          <w:tcPr>
            <w:tcW w:w="3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9"/>
              </w:rPr>
              <w:t>Average Balances</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Cost of Funds</w:t>
            </w:r>
          </w:p>
        </w:tc>
        <w:tc>
          <w:tcPr>
            <w:tcW w:w="960" w:type="dxa"/>
            <w:vAlign w:val="bottom"/>
          </w:tcPr>
          <w:p>
            <w:pPr>
              <w:spacing w:after="0"/>
              <w:rPr>
                <w:sz w:val="17"/>
                <w:szCs w:val="17"/>
                <w:color w:val="auto"/>
              </w:rPr>
            </w:pPr>
          </w:p>
        </w:tc>
      </w:tr>
      <w:tr>
        <w:trPr>
          <w:trHeight w:val="24"/>
        </w:trPr>
        <w:tc>
          <w:tcPr>
            <w:tcW w:w="3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356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Home Loan Bank short-term advances</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7"/>
              </w:rPr>
              <w:t>3.51 %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7"/>
              </w:rPr>
              <w:t>1.34 %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7"/>
              </w:rPr>
              <w:t>4.11 %</w:t>
            </w:r>
          </w:p>
        </w:tc>
      </w:tr>
      <w:tr>
        <w:trPr>
          <w:trHeight w:val="224"/>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funds purchased</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6.34</w:t>
            </w:r>
          </w:p>
        </w:tc>
      </w:tr>
      <w:tr>
        <w:trPr>
          <w:trHeight w:val="224"/>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sold under agreements to repurchase</w:t>
            </w:r>
          </w:p>
        </w:tc>
        <w:tc>
          <w:tcPr>
            <w:tcW w:w="3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0.96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0.98</w:t>
            </w:r>
          </w:p>
        </w:tc>
      </w:tr>
      <w:tr>
        <w:trPr>
          <w:trHeight w:val="217"/>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short-term borrowings</w:t>
            </w:r>
          </w:p>
        </w:tc>
        <w:tc>
          <w:tcPr>
            <w:tcW w:w="320" w:type="dxa"/>
            <w:vAlign w:val="bottom"/>
          </w:tcPr>
          <w:p>
            <w:pPr>
              <w:spacing w:after="0"/>
              <w:rPr>
                <w:sz w:val="18"/>
                <w:szCs w:val="18"/>
                <w:color w:val="auto"/>
              </w:rPr>
            </w:pP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423,003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119,264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461,692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97"/>
              </w:rPr>
              <w:t>3.46 %</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w w:val="97"/>
              </w:rPr>
              <w:t>1.32 %</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w w:val="97"/>
              </w:rPr>
              <w:t>4.05 %</w:t>
            </w:r>
          </w:p>
        </w:tc>
      </w:tr>
      <w:tr>
        <w:trPr>
          <w:trHeight w:val="20"/>
        </w:trPr>
        <w:tc>
          <w:tcPr>
            <w:tcW w:w="3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Company maintains lines of credit with correspondent banks totaling $140,000 at December 31, 2025. Interest is charged at the market federal funds rate on all advances. There were no amounts outstanding under these lines of credit at December 31, 2025 or 2024.</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12 – Long-Term Debt</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68"/>
        </w:trPr>
        <w:tc>
          <w:tcPr>
            <w:tcW w:w="8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68"/>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as of December 31, 2025 and 2024 is summarized as follows: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82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Home Loan Bank advances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Junior subordinated debentures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113,916</w:t>
            </w: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Subordinated notes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316,698</w:t>
            </w:r>
          </w:p>
        </w:tc>
      </w:tr>
      <w:tr>
        <w:trPr>
          <w:trHeight w:val="217"/>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499,756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430,614</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Home Loan Bank Advances</w:t>
      </w:r>
    </w:p>
    <w:p>
      <w:pPr>
        <w:spacing w:after="0" w:line="1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Long-term FHLB borrowings are used to match fund fixed rate loans in order to minimize interest rate risk and also are used to meet day-to-day liquidity needs, particularly when the cost of such borrowings compares favorably to the rates required to attract deposits. The Company did not have any outstanding long-term advances from the FHLB during 2025 and 2024. The total amount of the credit available to the Company from the FHLB at December 31, 2025 was $5,574,759.</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Junior Subordinated Debentures</w:t>
      </w:r>
    </w:p>
    <w:p>
      <w:pPr>
        <w:spacing w:after="0" w:line="16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Company owns the outstanding common securities of business trusts that issued corporation-obligated mandatorily redeemable preferred capital securities to third-party investors. The trusts used the proceeds from the issuance of their preferred capital securities and common securities (collectively referred to as “capital securities”) to buy floating rate junior subordinated debentures issued by the Company (or by companies that the Company subsequently acquired). The debentures are the trusts’ only assets and interest payments from the debentures finance the distributions paid on the capital securities. Distributions on the capital securities are payable quarterly at a rate per annum equal to the interest rate being earned by the trusts on the debentures held by the trusts. The capital securities are subject to mandatory redemption, in whole or in part, upon repayment of the debentures. The Company has entered into an agreement which fully and unconditionally guarantees the capital securities of each trust subject to the terms of the guarantee.</w:t>
      </w:r>
    </w:p>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interest rate on the debentures reprices quarterly equal to the three-month CME Term SOFR at the determination date plus the applicable spread. The debentures owned by the respective trusts are currently redeemable at par. The Company assumed junior subordinated debentures from The First with a carrying value of $25,653. The following table provides the details of the debentures as of December 31, 2025: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5"/>
              </w:rPr>
              <w:t>Principal</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3"/>
              </w:rPr>
              <w:t>Year of</w:t>
            </w:r>
          </w:p>
        </w:tc>
        <w:tc>
          <w:tcPr>
            <w:tcW w:w="160" w:type="dxa"/>
            <w:vAlign w:val="bottom"/>
          </w:tcPr>
          <w:p>
            <w:pPr>
              <w:spacing w:after="0"/>
              <w:rPr>
                <w:sz w:val="18"/>
                <w:szCs w:val="18"/>
                <w:color w:val="auto"/>
              </w:rPr>
            </w:pPr>
          </w:p>
        </w:tc>
        <w:tc>
          <w:tcPr>
            <w:tcW w:w="128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0" w:type="dxa"/>
            <w:vAlign w:val="bottom"/>
          </w:tcPr>
          <w:p>
            <w:pPr>
              <w:spacing w:after="0"/>
              <w:rPr>
                <w:sz w:val="1"/>
                <w:szCs w:val="1"/>
                <w:color w:val="auto"/>
              </w:rPr>
            </w:pPr>
          </w:p>
        </w:tc>
      </w:tr>
      <w:tr>
        <w:trPr>
          <w:trHeight w:val="171"/>
        </w:trPr>
        <w:tc>
          <w:tcPr>
            <w:tcW w:w="4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vMerge w:val="restart"/>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99"/>
              </w:rPr>
              <w:t>Carrying Value</w:t>
            </w:r>
          </w:p>
        </w:tc>
        <w:tc>
          <w:tcPr>
            <w:tcW w:w="100" w:type="dxa"/>
            <w:vAlign w:val="bottom"/>
          </w:tcPr>
          <w:p>
            <w:pPr>
              <w:spacing w:after="0"/>
              <w:rPr>
                <w:sz w:val="14"/>
                <w:szCs w:val="14"/>
                <w:color w:val="auto"/>
              </w:rPr>
            </w:pPr>
          </w:p>
        </w:tc>
        <w:tc>
          <w:tcPr>
            <w:tcW w:w="16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Spread (in bps)</w:t>
            </w:r>
          </w:p>
        </w:tc>
        <w:tc>
          <w:tcPr>
            <w:tcW w:w="10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52"/>
              <w:spacing w:after="0" w:line="171" w:lineRule="exact"/>
              <w:rPr>
                <w:sz w:val="20"/>
                <w:szCs w:val="20"/>
                <w:color w:val="auto"/>
              </w:rPr>
            </w:pPr>
            <w:r>
              <w:rPr>
                <w:rFonts w:ascii="Times New Roman" w:cs="Times New Roman" w:eastAsia="Times New Roman" w:hAnsi="Times New Roman"/>
                <w:sz w:val="18"/>
                <w:szCs w:val="18"/>
                <w:b w:val="1"/>
                <w:bCs w:val="1"/>
                <w:color w:val="auto"/>
                <w:w w:val="98"/>
              </w:rPr>
              <w:t>Included in</w:t>
            </w:r>
          </w:p>
        </w:tc>
        <w:tc>
          <w:tcPr>
            <w:tcW w:w="0" w:type="dxa"/>
            <w:vAlign w:val="bottom"/>
          </w:tcPr>
          <w:p>
            <w:pPr>
              <w:spacing w:after="0"/>
              <w:rPr>
                <w:sz w:val="1"/>
                <w:szCs w:val="1"/>
                <w:color w:val="auto"/>
              </w:rPr>
            </w:pPr>
          </w:p>
        </w:tc>
      </w:tr>
      <w:tr>
        <w:trPr>
          <w:trHeight w:val="237"/>
        </w:trPr>
        <w:tc>
          <w:tcPr>
            <w:tcW w:w="4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60" w:type="dxa"/>
            <w:vAlign w:val="bottom"/>
          </w:tcPr>
          <w:p>
            <w:pPr>
              <w:spacing w:after="0"/>
              <w:rPr>
                <w:sz w:val="20"/>
                <w:szCs w:val="20"/>
                <w:color w:val="auto"/>
              </w:rPr>
            </w:pPr>
          </w:p>
        </w:tc>
        <w:tc>
          <w:tcPr>
            <w:tcW w:w="14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2"/>
            <w:vMerge w:val="continue"/>
          </w:tcPr>
          <w:p>
            <w:pPr>
              <w:spacing w:after="0"/>
              <w:rPr>
                <w:sz w:val="20"/>
                <w:szCs w:val="20"/>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160" w:type="dxa"/>
            <w:vAlign w:val="bottom"/>
          </w:tcPr>
          <w:p>
            <w:pPr>
              <w:spacing w:after="0"/>
              <w:rPr>
                <w:sz w:val="20"/>
                <w:szCs w:val="20"/>
                <w:color w:val="auto"/>
              </w:rPr>
            </w:pPr>
          </w:p>
        </w:tc>
        <w:tc>
          <w:tcPr>
            <w:tcW w:w="1280" w:type="dxa"/>
            <w:vAlign w:val="bottom"/>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6"/>
              </w:rPr>
              <w:t>Tier 2 Capital</w:t>
            </w:r>
          </w:p>
        </w:tc>
        <w:tc>
          <w:tcPr>
            <w:tcW w:w="0" w:type="dxa"/>
            <w:vAlign w:val="bottom"/>
          </w:tcPr>
          <w:p>
            <w:pPr>
              <w:spacing w:after="0"/>
              <w:rPr>
                <w:sz w:val="1"/>
                <w:szCs w:val="1"/>
                <w:color w:val="auto"/>
              </w:rPr>
            </w:pPr>
          </w:p>
        </w:tc>
      </w:tr>
      <w:tr>
        <w:trPr>
          <w:trHeight w:val="217"/>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PHC Statutory Trust I</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20,619</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311</w:t>
            </w: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2033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24"/>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PHC Statutory Trust II</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31,959</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213</w:t>
            </w:r>
          </w:p>
        </w:tc>
        <w:tc>
          <w:tcPr>
            <w:tcW w:w="8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2035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0" w:type="dxa"/>
            <w:vAlign w:val="bottom"/>
          </w:tcPr>
          <w:p>
            <w:pPr>
              <w:spacing w:after="0"/>
              <w:rPr>
                <w:sz w:val="1"/>
                <w:szCs w:val="1"/>
                <w:color w:val="auto"/>
              </w:rPr>
            </w:pPr>
          </w:p>
        </w:tc>
      </w:tr>
      <w:tr>
        <w:trPr>
          <w:trHeight w:val="224"/>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Bancorp Capital Trust I</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12,372</w:t>
            </w:r>
          </w:p>
        </w:tc>
        <w:tc>
          <w:tcPr>
            <w:tcW w:w="16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176</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2035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0" w:type="dxa"/>
            <w:vAlign w:val="bottom"/>
          </w:tcPr>
          <w:p>
            <w:pPr>
              <w:spacing w:after="0"/>
              <w:rPr>
                <w:sz w:val="1"/>
                <w:szCs w:val="1"/>
                <w:color w:val="auto"/>
              </w:rPr>
            </w:pPr>
          </w:p>
        </w:tc>
      </w:tr>
      <w:tr>
        <w:trPr>
          <w:trHeight w:val="224"/>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M&amp;F Statutory Trust I</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26,360</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159</w:t>
            </w:r>
          </w:p>
        </w:tc>
        <w:tc>
          <w:tcPr>
            <w:tcW w:w="8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2036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25,433</w:t>
            </w:r>
          </w:p>
        </w:tc>
        <w:tc>
          <w:tcPr>
            <w:tcW w:w="0" w:type="dxa"/>
            <w:vAlign w:val="bottom"/>
          </w:tcPr>
          <w:p>
            <w:pPr>
              <w:spacing w:after="0"/>
              <w:rPr>
                <w:sz w:val="1"/>
                <w:szCs w:val="1"/>
                <w:color w:val="auto"/>
              </w:rPr>
            </w:pPr>
          </w:p>
        </w:tc>
      </w:tr>
      <w:tr>
        <w:trPr>
          <w:trHeight w:val="224"/>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Brand Trust I</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9,878</w:t>
            </w:r>
          </w:p>
        </w:tc>
        <w:tc>
          <w:tcPr>
            <w:tcW w:w="16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231</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2035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9,568</w:t>
            </w:r>
          </w:p>
        </w:tc>
        <w:tc>
          <w:tcPr>
            <w:tcW w:w="0" w:type="dxa"/>
            <w:vAlign w:val="bottom"/>
          </w:tcPr>
          <w:p>
            <w:pPr>
              <w:spacing w:after="0"/>
              <w:rPr>
                <w:sz w:val="1"/>
                <w:szCs w:val="1"/>
                <w:color w:val="auto"/>
              </w:rPr>
            </w:pPr>
          </w:p>
        </w:tc>
      </w:tr>
      <w:tr>
        <w:trPr>
          <w:trHeight w:val="224"/>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Brand Trust II</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5,190</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326</w:t>
            </w:r>
          </w:p>
        </w:tc>
        <w:tc>
          <w:tcPr>
            <w:tcW w:w="8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2037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0" w:type="dxa"/>
            <w:vAlign w:val="bottom"/>
          </w:tcPr>
          <w:p>
            <w:pPr>
              <w:spacing w:after="0"/>
              <w:rPr>
                <w:sz w:val="1"/>
                <w:szCs w:val="1"/>
                <w:color w:val="auto"/>
              </w:rPr>
            </w:pPr>
          </w:p>
        </w:tc>
      </w:tr>
      <w:tr>
        <w:trPr>
          <w:trHeight w:val="224"/>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Brand Trust III</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5,191</w:t>
            </w:r>
          </w:p>
        </w:tc>
        <w:tc>
          <w:tcPr>
            <w:tcW w:w="16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326</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2038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5,036</w:t>
            </w:r>
          </w:p>
        </w:tc>
        <w:tc>
          <w:tcPr>
            <w:tcW w:w="0" w:type="dxa"/>
            <w:vAlign w:val="bottom"/>
          </w:tcPr>
          <w:p>
            <w:pPr>
              <w:spacing w:after="0"/>
              <w:rPr>
                <w:sz w:val="1"/>
                <w:szCs w:val="1"/>
                <w:color w:val="auto"/>
              </w:rPr>
            </w:pPr>
          </w:p>
        </w:tc>
      </w:tr>
      <w:tr>
        <w:trPr>
          <w:trHeight w:val="224"/>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Brand Trust IV</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401</w:t>
            </w:r>
          </w:p>
        </w:tc>
        <w:tc>
          <w:tcPr>
            <w:tcW w:w="8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2038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0" w:type="dxa"/>
            <w:vAlign w:val="bottom"/>
          </w:tcPr>
          <w:p>
            <w:pPr>
              <w:spacing w:after="0"/>
              <w:rPr>
                <w:sz w:val="1"/>
                <w:szCs w:val="1"/>
                <w:color w:val="auto"/>
              </w:rPr>
            </w:pPr>
          </w:p>
        </w:tc>
      </w:tr>
      <w:tr>
        <w:trPr>
          <w:trHeight w:val="224"/>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FMB Trust I</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6,228</w:t>
            </w:r>
          </w:p>
        </w:tc>
        <w:tc>
          <w:tcPr>
            <w:tcW w:w="16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311</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2033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6,041</w:t>
            </w:r>
          </w:p>
        </w:tc>
        <w:tc>
          <w:tcPr>
            <w:tcW w:w="0" w:type="dxa"/>
            <w:vAlign w:val="bottom"/>
          </w:tcPr>
          <w:p>
            <w:pPr>
              <w:spacing w:after="0"/>
              <w:rPr>
                <w:sz w:val="1"/>
                <w:szCs w:val="1"/>
                <w:color w:val="auto"/>
              </w:rPr>
            </w:pPr>
          </w:p>
        </w:tc>
      </w:tr>
      <w:tr>
        <w:trPr>
          <w:trHeight w:val="224"/>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Liberty Trust II</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9,818</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174</w:t>
            </w:r>
          </w:p>
        </w:tc>
        <w:tc>
          <w:tcPr>
            <w:tcW w:w="8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2036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9,508</w:t>
            </w:r>
          </w:p>
        </w:tc>
        <w:tc>
          <w:tcPr>
            <w:tcW w:w="0" w:type="dxa"/>
            <w:vAlign w:val="bottom"/>
          </w:tcPr>
          <w:p>
            <w:pPr>
              <w:spacing w:after="0"/>
              <w:rPr>
                <w:sz w:val="1"/>
                <w:szCs w:val="1"/>
                <w:color w:val="auto"/>
              </w:rPr>
            </w:pPr>
          </w:p>
        </w:tc>
      </w:tr>
      <w:tr>
        <w:trPr>
          <w:trHeight w:val="224"/>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First Trust II</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3,925</w:t>
            </w:r>
          </w:p>
        </w:tc>
        <w:tc>
          <w:tcPr>
            <w:tcW w:w="16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191</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2037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w:t>
            </w:r>
          </w:p>
        </w:tc>
        <w:tc>
          <w:tcPr>
            <w:tcW w:w="0" w:type="dxa"/>
            <w:vAlign w:val="bottom"/>
          </w:tcPr>
          <w:p>
            <w:pPr>
              <w:spacing w:after="0"/>
              <w:rPr>
                <w:sz w:val="1"/>
                <w:szCs w:val="1"/>
                <w:color w:val="auto"/>
              </w:rPr>
            </w:pPr>
          </w:p>
        </w:tc>
      </w:tr>
      <w:tr>
        <w:trPr>
          <w:trHeight w:val="224"/>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 First Trust III</w:t>
            </w:r>
          </w:p>
        </w:tc>
        <w:tc>
          <w:tcPr>
            <w:tcW w:w="1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6,186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5,808</w:t>
            </w:r>
          </w:p>
        </w:tc>
        <w:tc>
          <w:tcPr>
            <w:tcW w:w="166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166</w:t>
            </w: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4"/>
              </w:rPr>
              <w:t>2037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5,622</w:t>
            </w:r>
          </w:p>
        </w:tc>
        <w:tc>
          <w:tcPr>
            <w:tcW w:w="0" w:type="dxa"/>
            <w:vAlign w:val="bottom"/>
          </w:tcPr>
          <w:p>
            <w:pPr>
              <w:spacing w:after="0"/>
              <w:rPr>
                <w:sz w:val="1"/>
                <w:szCs w:val="1"/>
                <w:color w:val="auto"/>
              </w:rPr>
            </w:pPr>
          </w:p>
        </w:tc>
      </w:tr>
      <w:tr>
        <w:trPr>
          <w:trHeight w:val="242"/>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140,632</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136,235</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Federal Reserve guidelines limit the amount of securities that, similar to the Company’s junior subordinated debentures, are includable in Tier 1 capital, but until the Company’s merger with The First on April 1, 2025, these guidelines did not impact the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Long-Term Debt (continued)</w:t>
      </w:r>
    </w:p>
    <w:p>
      <w:pPr>
        <w:spacing w:after="0" w:line="35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amount of debentures the Company includes in Tier 1 capital. Following the merger with The First, all of the Company's junior subordinated debentures are now included in Tier 2 capital.</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Subordinated Notes</w:t>
      </w:r>
    </w:p>
    <w:p>
      <w:pPr>
        <w:spacing w:after="0" w:line="13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Company has issued and sold fixed-to-floating rate subordinated notes in underwritten public offerings at a price equal to 100% of the aggregate principal amounts of the notes. Interest on the these notes is payable semi-annually in arrears at the applicable fixed rate until but excluding the fixed to floating transition date and payable quarterly in arrears thereafter at the applicable benchmark rate plus spread until but excluding the maturity date or earlier redemption date. The Company assumed $37,000 fixed-to-floating rate subordinated notes due May 1, 2033 (the “2033 Notes”) and $60,000 fixed-to-floating rate subordinated notes due October 1, 2030 (the “2030 Notes”) in connection with the merger with The First. Interest on the 2033 Notes is payable quarterly in arrears at the applicable interest rate, and interest on the 2030 Notes is payable semi-annually in arrears at 4.25% until but excluding the fixed to floating transition date and payable quarterly in arrears thereafter at the applicable benchmark rate plus spread until but excluding the maturity date or earlier redemption date. The subordinated notes issued by the Company and assumed from The First are referred to collectively as the “Notes”. A summary of the Notes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00" w:type="dxa"/>
            <w:vAlign w:val="bottom"/>
            <w:vMerge w:val="restart"/>
          </w:tcPr>
          <w:p>
            <w:pPr>
              <w:ind w:left="600"/>
              <w:spacing w:after="0"/>
              <w:rPr>
                <w:sz w:val="20"/>
                <w:szCs w:val="20"/>
                <w:color w:val="auto"/>
              </w:rPr>
            </w:pPr>
            <w:r>
              <w:rPr>
                <w:rFonts w:ascii="Times New Roman" w:cs="Times New Roman" w:eastAsia="Times New Roman" w:hAnsi="Times New Roman"/>
                <w:sz w:val="16"/>
                <w:szCs w:val="16"/>
                <w:b w:val="1"/>
                <w:bCs w:val="1"/>
                <w:color w:val="auto"/>
              </w:rPr>
              <w:t>Issue Date</w:t>
            </w:r>
          </w:p>
        </w:tc>
        <w:tc>
          <w:tcPr>
            <w:tcW w:w="300" w:type="dxa"/>
            <w:vAlign w:val="bottom"/>
          </w:tcPr>
          <w:p>
            <w:pPr>
              <w:spacing w:after="0"/>
              <w:rPr>
                <w:sz w:val="16"/>
                <w:szCs w:val="16"/>
                <w:color w:val="auto"/>
              </w:rPr>
            </w:pPr>
          </w:p>
        </w:tc>
        <w:tc>
          <w:tcPr>
            <w:tcW w:w="860" w:type="dxa"/>
            <w:vAlign w:val="bottom"/>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Initial</w:t>
            </w:r>
          </w:p>
        </w:tc>
        <w:tc>
          <w:tcPr>
            <w:tcW w:w="800" w:type="dxa"/>
            <w:vAlign w:val="bottom"/>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99"/>
              </w:rPr>
              <w:t>Fixed</w:t>
            </w: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Fixed to floating</w:t>
            </w:r>
          </w:p>
        </w:tc>
        <w:tc>
          <w:tcPr>
            <w:tcW w:w="1760" w:type="dxa"/>
            <w:vAlign w:val="bottom"/>
            <w:vMerge w:val="restart"/>
          </w:tcPr>
          <w:p>
            <w:pPr>
              <w:jc w:val="center"/>
              <w:ind w:left="21"/>
              <w:spacing w:after="0"/>
              <w:rPr>
                <w:sz w:val="20"/>
                <w:szCs w:val="20"/>
                <w:color w:val="auto"/>
              </w:rPr>
            </w:pPr>
            <w:r>
              <w:rPr>
                <w:rFonts w:ascii="Times New Roman" w:cs="Times New Roman" w:eastAsia="Times New Roman" w:hAnsi="Times New Roman"/>
                <w:sz w:val="16"/>
                <w:szCs w:val="16"/>
                <w:b w:val="1"/>
                <w:bCs w:val="1"/>
                <w:color w:val="auto"/>
                <w:w w:val="98"/>
              </w:rPr>
              <w:t>Benchmark rate</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Spread (in</w:t>
            </w:r>
          </w:p>
        </w:tc>
        <w:tc>
          <w:tcPr>
            <w:tcW w:w="140" w:type="dxa"/>
            <w:vAlign w:val="bottom"/>
          </w:tcPr>
          <w:p>
            <w:pPr>
              <w:spacing w:after="0"/>
              <w:rPr>
                <w:sz w:val="16"/>
                <w:szCs w:val="16"/>
                <w:color w:val="auto"/>
              </w:rPr>
            </w:pPr>
          </w:p>
        </w:tc>
        <w:tc>
          <w:tcPr>
            <w:tcW w:w="1040" w:type="dxa"/>
            <w:vAlign w:val="bottom"/>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Debt</w:t>
            </w:r>
          </w:p>
        </w:tc>
        <w:tc>
          <w:tcPr>
            <w:tcW w:w="1820" w:type="dxa"/>
            <w:vAlign w:val="bottom"/>
            <w:vMerge w:val="restart"/>
          </w:tcPr>
          <w:p>
            <w:pPr>
              <w:jc w:val="center"/>
              <w:ind w:left="1"/>
              <w:spacing w:after="0"/>
              <w:rPr>
                <w:sz w:val="20"/>
                <w:szCs w:val="20"/>
                <w:color w:val="auto"/>
              </w:rPr>
            </w:pPr>
            <w:r>
              <w:rPr>
                <w:rFonts w:ascii="Times New Roman" w:cs="Times New Roman" w:eastAsia="Times New Roman" w:hAnsi="Times New Roman"/>
                <w:sz w:val="16"/>
                <w:szCs w:val="16"/>
                <w:b w:val="1"/>
                <w:bCs w:val="1"/>
                <w:color w:val="auto"/>
                <w:w w:val="99"/>
              </w:rPr>
              <w:t>Maturity</w:t>
            </w:r>
          </w:p>
        </w:tc>
        <w:tc>
          <w:tcPr>
            <w:tcW w:w="0" w:type="dxa"/>
            <w:vAlign w:val="bottom"/>
          </w:tcPr>
          <w:p>
            <w:pPr>
              <w:spacing w:after="0"/>
              <w:rPr>
                <w:sz w:val="1"/>
                <w:szCs w:val="1"/>
                <w:color w:val="auto"/>
              </w:rPr>
            </w:pPr>
          </w:p>
        </w:tc>
      </w:tr>
      <w:tr>
        <w:trPr>
          <w:trHeight w:val="210"/>
        </w:trPr>
        <w:tc>
          <w:tcPr>
            <w:tcW w:w="170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99"/>
              </w:rPr>
              <w:t>principal</w:t>
            </w:r>
          </w:p>
        </w:tc>
        <w:tc>
          <w:tcPr>
            <w:tcW w:w="80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94"/>
              </w:rPr>
              <w:t>rate</w:t>
            </w: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transition date</w:t>
            </w:r>
          </w:p>
        </w:tc>
        <w:tc>
          <w:tcPr>
            <w:tcW w:w="176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bps)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17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August 22, 2016</w:t>
            </w: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40,000</w:t>
            </w:r>
          </w:p>
        </w:tc>
        <w:tc>
          <w:tcPr>
            <w:tcW w:w="800" w:type="dxa"/>
            <w:vAlign w:val="bottom"/>
            <w:vMerge w:val="restart"/>
            <w:shd w:val="clear" w:color="auto" w:fill="CCEEFF"/>
          </w:tcPr>
          <w:p>
            <w:pPr>
              <w:jc w:val="center"/>
              <w:ind w:right="21"/>
              <w:spacing w:after="0"/>
              <w:rPr>
                <w:sz w:val="20"/>
                <w:szCs w:val="20"/>
                <w:color w:val="auto"/>
              </w:rPr>
            </w:pPr>
            <w:r>
              <w:rPr>
                <w:rFonts w:ascii="Times New Roman" w:cs="Times New Roman" w:eastAsia="Times New Roman" w:hAnsi="Times New Roman"/>
                <w:sz w:val="16"/>
                <w:szCs w:val="16"/>
                <w:color w:val="auto"/>
              </w:rPr>
              <w:t>5.50%</w:t>
            </w:r>
          </w:p>
        </w:tc>
        <w:tc>
          <w:tcPr>
            <w:tcW w:w="1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September 1, 2026</w:t>
            </w:r>
          </w:p>
        </w:tc>
        <w:tc>
          <w:tcPr>
            <w:tcW w:w="1760" w:type="dxa"/>
            <w:vAlign w:val="bottom"/>
            <w:shd w:val="clear" w:color="auto" w:fill="CCEEFF"/>
          </w:tcPr>
          <w:p>
            <w:pPr>
              <w:jc w:val="center"/>
              <w:ind w:left="41"/>
              <w:spacing w:after="0" w:line="152" w:lineRule="exact"/>
              <w:rPr>
                <w:sz w:val="20"/>
                <w:szCs w:val="20"/>
                <w:color w:val="auto"/>
              </w:rPr>
            </w:pPr>
            <w:r>
              <w:rPr>
                <w:rFonts w:ascii="Times New Roman" w:cs="Times New Roman" w:eastAsia="Times New Roman" w:hAnsi="Times New Roman"/>
                <w:sz w:val="16"/>
                <w:szCs w:val="16"/>
                <w:color w:val="auto"/>
                <w:w w:val="97"/>
              </w:rPr>
              <w:t>3-month CME Term</w:t>
            </w: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4"/>
              </w:rPr>
              <w:t>407.1</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40,000</w:t>
            </w:r>
          </w:p>
        </w:tc>
        <w:tc>
          <w:tcPr>
            <w:tcW w:w="1820" w:type="dxa"/>
            <w:vAlign w:val="bottom"/>
            <w:vMerge w:val="restart"/>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7"/>
              </w:rPr>
              <w:t>September 1, 2031</w:t>
            </w:r>
          </w:p>
        </w:tc>
        <w:tc>
          <w:tcPr>
            <w:tcW w:w="0" w:type="dxa"/>
            <w:vAlign w:val="bottom"/>
          </w:tcPr>
          <w:p>
            <w:pPr>
              <w:spacing w:after="0"/>
              <w:rPr>
                <w:sz w:val="1"/>
                <w:szCs w:val="1"/>
                <w:color w:val="auto"/>
              </w:rPr>
            </w:pPr>
          </w:p>
        </w:tc>
      </w:tr>
      <w:tr>
        <w:trPr>
          <w:trHeight w:val="211"/>
        </w:trPr>
        <w:tc>
          <w:tcPr>
            <w:tcW w:w="170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780" w:type="dxa"/>
            <w:vAlign w:val="bottom"/>
            <w:vMerge w:val="continue"/>
            <w:shd w:val="clear" w:color="auto" w:fill="CCEEFF"/>
          </w:tcPr>
          <w:p>
            <w:pPr>
              <w:spacing w:after="0"/>
              <w:rPr>
                <w:sz w:val="18"/>
                <w:szCs w:val="18"/>
                <w:color w:val="auto"/>
              </w:rPr>
            </w:pPr>
          </w:p>
        </w:tc>
        <w:tc>
          <w:tcPr>
            <w:tcW w:w="1760" w:type="dxa"/>
            <w:vAlign w:val="bottom"/>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9"/>
              </w:rPr>
              <w:t>SOFR</w:t>
            </w:r>
          </w:p>
        </w:tc>
        <w:tc>
          <w:tcPr>
            <w:tcW w:w="104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September 3, 2020</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rPr>
              <w:t>100,000</w:t>
            </w:r>
          </w:p>
        </w:tc>
        <w:tc>
          <w:tcPr>
            <w:tcW w:w="800" w:type="dxa"/>
            <w:vAlign w:val="bottom"/>
            <w:vMerge w:val="restart"/>
          </w:tcPr>
          <w:p>
            <w:pPr>
              <w:jc w:val="center"/>
              <w:ind w:right="21"/>
              <w:spacing w:after="0"/>
              <w:rPr>
                <w:sz w:val="20"/>
                <w:szCs w:val="20"/>
                <w:color w:val="auto"/>
              </w:rPr>
            </w:pPr>
            <w:r>
              <w:rPr>
                <w:rFonts w:ascii="Times New Roman" w:cs="Times New Roman" w:eastAsia="Times New Roman" w:hAnsi="Times New Roman"/>
                <w:sz w:val="16"/>
                <w:szCs w:val="16"/>
                <w:color w:val="auto"/>
              </w:rPr>
              <w:t>4.50%</w:t>
            </w: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September 15, 2030</w:t>
            </w:r>
          </w:p>
        </w:tc>
        <w:tc>
          <w:tcPr>
            <w:tcW w:w="1760" w:type="dxa"/>
            <w:vAlign w:val="bottom"/>
          </w:tcPr>
          <w:p>
            <w:pPr>
              <w:jc w:val="center"/>
              <w:ind w:left="41"/>
              <w:spacing w:after="0" w:line="158" w:lineRule="exact"/>
              <w:rPr>
                <w:sz w:val="20"/>
                <w:szCs w:val="20"/>
                <w:color w:val="auto"/>
              </w:rPr>
            </w:pPr>
            <w:r>
              <w:rPr>
                <w:rFonts w:ascii="Times New Roman" w:cs="Times New Roman" w:eastAsia="Times New Roman" w:hAnsi="Times New Roman"/>
                <w:sz w:val="16"/>
                <w:szCs w:val="16"/>
                <w:color w:val="auto"/>
                <w:w w:val="97"/>
              </w:rPr>
              <w:t>3-month CME Term</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4"/>
              </w:rPr>
              <w:t>402.5</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100,000</w:t>
            </w:r>
          </w:p>
        </w:tc>
        <w:tc>
          <w:tcPr>
            <w:tcW w:w="1820" w:type="dxa"/>
            <w:vAlign w:val="bottom"/>
            <w:vMerge w:val="restart"/>
          </w:tcPr>
          <w:p>
            <w:pPr>
              <w:jc w:val="center"/>
              <w:ind w:left="1"/>
              <w:spacing w:after="0"/>
              <w:rPr>
                <w:sz w:val="20"/>
                <w:szCs w:val="20"/>
                <w:color w:val="auto"/>
              </w:rPr>
            </w:pPr>
            <w:r>
              <w:rPr>
                <w:rFonts w:ascii="Times New Roman" w:cs="Times New Roman" w:eastAsia="Times New Roman" w:hAnsi="Times New Roman"/>
                <w:sz w:val="16"/>
                <w:szCs w:val="16"/>
                <w:color w:val="auto"/>
                <w:w w:val="98"/>
              </w:rPr>
              <w:t>September 15, 2035</w:t>
            </w:r>
          </w:p>
        </w:tc>
        <w:tc>
          <w:tcPr>
            <w:tcW w:w="0" w:type="dxa"/>
            <w:vAlign w:val="bottom"/>
          </w:tcPr>
          <w:p>
            <w:pPr>
              <w:spacing w:after="0"/>
              <w:rPr>
                <w:sz w:val="1"/>
                <w:szCs w:val="1"/>
                <w:color w:val="auto"/>
              </w:rPr>
            </w:pPr>
          </w:p>
        </w:tc>
      </w:tr>
      <w:tr>
        <w:trPr>
          <w:trHeight w:val="209"/>
        </w:trPr>
        <w:tc>
          <w:tcPr>
            <w:tcW w:w="170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780" w:type="dxa"/>
            <w:vAlign w:val="bottom"/>
            <w:vMerge w:val="continue"/>
          </w:tcPr>
          <w:p>
            <w:pPr>
              <w:spacing w:after="0"/>
              <w:rPr>
                <w:sz w:val="18"/>
                <w:szCs w:val="18"/>
                <w:color w:val="auto"/>
              </w:rPr>
            </w:pPr>
          </w:p>
        </w:tc>
        <w:tc>
          <w:tcPr>
            <w:tcW w:w="1760" w:type="dxa"/>
            <w:vAlign w:val="bottom"/>
          </w:tcPr>
          <w:p>
            <w:pPr>
              <w:jc w:val="center"/>
              <w:ind w:left="41"/>
              <w:spacing w:after="0"/>
              <w:rPr>
                <w:sz w:val="20"/>
                <w:szCs w:val="20"/>
                <w:color w:val="auto"/>
              </w:rPr>
            </w:pPr>
            <w:r>
              <w:rPr>
                <w:rFonts w:ascii="Times New Roman" w:cs="Times New Roman" w:eastAsia="Times New Roman" w:hAnsi="Times New Roman"/>
                <w:sz w:val="16"/>
                <w:szCs w:val="16"/>
                <w:color w:val="auto"/>
                <w:w w:val="99"/>
              </w:rPr>
              <w:t>SOFR</w:t>
            </w:r>
          </w:p>
        </w:tc>
        <w:tc>
          <w:tcPr>
            <w:tcW w:w="104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1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17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November 23, 2021</w:t>
            </w: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200,000</w:t>
            </w:r>
          </w:p>
        </w:tc>
        <w:tc>
          <w:tcPr>
            <w:tcW w:w="800" w:type="dxa"/>
            <w:vAlign w:val="bottom"/>
            <w:vMerge w:val="restart"/>
            <w:shd w:val="clear" w:color="auto" w:fill="CCEEFF"/>
          </w:tcPr>
          <w:p>
            <w:pPr>
              <w:jc w:val="center"/>
              <w:ind w:right="21"/>
              <w:spacing w:after="0"/>
              <w:rPr>
                <w:sz w:val="20"/>
                <w:szCs w:val="20"/>
                <w:color w:val="auto"/>
              </w:rPr>
            </w:pPr>
            <w:r>
              <w:rPr>
                <w:rFonts w:ascii="Times New Roman" w:cs="Times New Roman" w:eastAsia="Times New Roman" w:hAnsi="Times New Roman"/>
                <w:sz w:val="16"/>
                <w:szCs w:val="16"/>
                <w:color w:val="auto"/>
              </w:rPr>
              <w:t>3.00%</w:t>
            </w:r>
          </w:p>
        </w:tc>
        <w:tc>
          <w:tcPr>
            <w:tcW w:w="1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December 1, 2026</w:t>
            </w:r>
          </w:p>
        </w:tc>
        <w:tc>
          <w:tcPr>
            <w:tcW w:w="1760" w:type="dxa"/>
            <w:vAlign w:val="bottom"/>
            <w:shd w:val="clear" w:color="auto" w:fill="CCEEFF"/>
          </w:tcPr>
          <w:p>
            <w:pPr>
              <w:jc w:val="center"/>
              <w:ind w:left="41"/>
              <w:spacing w:after="0" w:line="160" w:lineRule="exact"/>
              <w:rPr>
                <w:sz w:val="20"/>
                <w:szCs w:val="20"/>
                <w:color w:val="auto"/>
              </w:rPr>
            </w:pPr>
            <w:r>
              <w:rPr>
                <w:rFonts w:ascii="Times New Roman" w:cs="Times New Roman" w:eastAsia="Times New Roman" w:hAnsi="Times New Roman"/>
                <w:sz w:val="16"/>
                <w:szCs w:val="16"/>
                <w:color w:val="auto"/>
                <w:w w:val="97"/>
              </w:rPr>
              <w:t>3-month CME Term</w:t>
            </w: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1"/>
              </w:rPr>
              <w:t>191</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196,400</w:t>
            </w:r>
          </w:p>
        </w:tc>
        <w:tc>
          <w:tcPr>
            <w:tcW w:w="1820" w:type="dxa"/>
            <w:vAlign w:val="bottom"/>
            <w:vMerge w:val="restart"/>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8"/>
              </w:rPr>
              <w:t>December 1, 2031</w:t>
            </w:r>
          </w:p>
        </w:tc>
        <w:tc>
          <w:tcPr>
            <w:tcW w:w="0" w:type="dxa"/>
            <w:vAlign w:val="bottom"/>
          </w:tcPr>
          <w:p>
            <w:pPr>
              <w:spacing w:after="0"/>
              <w:rPr>
                <w:sz w:val="1"/>
                <w:szCs w:val="1"/>
                <w:color w:val="auto"/>
              </w:rPr>
            </w:pPr>
          </w:p>
        </w:tc>
      </w:tr>
      <w:tr>
        <w:trPr>
          <w:trHeight w:val="211"/>
        </w:trPr>
        <w:tc>
          <w:tcPr>
            <w:tcW w:w="170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780" w:type="dxa"/>
            <w:vAlign w:val="bottom"/>
            <w:vMerge w:val="continue"/>
            <w:shd w:val="clear" w:color="auto" w:fill="CCEEFF"/>
          </w:tcPr>
          <w:p>
            <w:pPr>
              <w:spacing w:after="0"/>
              <w:rPr>
                <w:sz w:val="18"/>
                <w:szCs w:val="18"/>
                <w:color w:val="auto"/>
              </w:rPr>
            </w:pPr>
          </w:p>
        </w:tc>
        <w:tc>
          <w:tcPr>
            <w:tcW w:w="1760" w:type="dxa"/>
            <w:vAlign w:val="bottom"/>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9"/>
              </w:rPr>
              <w:t>SOFR</w:t>
            </w:r>
          </w:p>
        </w:tc>
        <w:tc>
          <w:tcPr>
            <w:tcW w:w="104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April 30, 2018</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rPr>
              <w:t>37,000</w:t>
            </w:r>
          </w:p>
        </w:tc>
        <w:tc>
          <w:tcPr>
            <w:tcW w:w="800" w:type="dxa"/>
            <w:vAlign w:val="bottom"/>
            <w:vMerge w:val="restart"/>
          </w:tcPr>
          <w:p>
            <w:pPr>
              <w:jc w:val="center"/>
              <w:ind w:right="21"/>
              <w:spacing w:after="0"/>
              <w:rPr>
                <w:sz w:val="20"/>
                <w:szCs w:val="20"/>
                <w:color w:val="auto"/>
              </w:rPr>
            </w:pPr>
            <w:r>
              <w:rPr>
                <w:rFonts w:ascii="Times New Roman" w:cs="Times New Roman" w:eastAsia="Times New Roman" w:hAnsi="Times New Roman"/>
                <w:sz w:val="16"/>
                <w:szCs w:val="16"/>
                <w:color w:val="auto"/>
              </w:rPr>
              <w:t>6.40%</w:t>
            </w: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May 1 ,2028</w:t>
            </w:r>
          </w:p>
        </w:tc>
        <w:tc>
          <w:tcPr>
            <w:tcW w:w="1760" w:type="dxa"/>
            <w:vAlign w:val="bottom"/>
          </w:tcPr>
          <w:p>
            <w:pPr>
              <w:jc w:val="center"/>
              <w:ind w:left="41"/>
              <w:spacing w:after="0" w:line="158" w:lineRule="exact"/>
              <w:rPr>
                <w:sz w:val="20"/>
                <w:szCs w:val="20"/>
                <w:color w:val="auto"/>
              </w:rPr>
            </w:pPr>
            <w:r>
              <w:rPr>
                <w:rFonts w:ascii="Times New Roman" w:cs="Times New Roman" w:eastAsia="Times New Roman" w:hAnsi="Times New Roman"/>
                <w:sz w:val="16"/>
                <w:szCs w:val="16"/>
                <w:color w:val="auto"/>
                <w:w w:val="97"/>
              </w:rPr>
              <w:t>3-month CME Term</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1"/>
              </w:rPr>
              <w:t>339</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37,000</w:t>
            </w:r>
          </w:p>
        </w:tc>
        <w:tc>
          <w:tcPr>
            <w:tcW w:w="1820" w:type="dxa"/>
            <w:vAlign w:val="bottom"/>
            <w:vMerge w:val="restart"/>
          </w:tcPr>
          <w:p>
            <w:pPr>
              <w:jc w:val="center"/>
              <w:ind w:left="21"/>
              <w:spacing w:after="0"/>
              <w:rPr>
                <w:sz w:val="20"/>
                <w:szCs w:val="20"/>
                <w:color w:val="auto"/>
              </w:rPr>
            </w:pPr>
            <w:r>
              <w:rPr>
                <w:rFonts w:ascii="Times New Roman" w:cs="Times New Roman" w:eastAsia="Times New Roman" w:hAnsi="Times New Roman"/>
                <w:sz w:val="16"/>
                <w:szCs w:val="16"/>
                <w:color w:val="auto"/>
                <w:w w:val="98"/>
              </w:rPr>
              <w:t>May 1, 2033</w:t>
            </w:r>
          </w:p>
        </w:tc>
        <w:tc>
          <w:tcPr>
            <w:tcW w:w="0" w:type="dxa"/>
            <w:vAlign w:val="bottom"/>
          </w:tcPr>
          <w:p>
            <w:pPr>
              <w:spacing w:after="0"/>
              <w:rPr>
                <w:sz w:val="1"/>
                <w:szCs w:val="1"/>
                <w:color w:val="auto"/>
              </w:rPr>
            </w:pPr>
          </w:p>
        </w:tc>
      </w:tr>
      <w:tr>
        <w:trPr>
          <w:trHeight w:val="209"/>
        </w:trPr>
        <w:tc>
          <w:tcPr>
            <w:tcW w:w="1700" w:type="dxa"/>
            <w:vAlign w:val="bottom"/>
            <w:tcBorders>
              <w:bottom w:val="single" w:sz="8" w:color="CCEEFF"/>
            </w:tcBorders>
            <w:vMerge w:val="continue"/>
          </w:tcPr>
          <w:p>
            <w:pPr>
              <w:spacing w:after="0"/>
              <w:rPr>
                <w:sz w:val="18"/>
                <w:szCs w:val="18"/>
                <w:color w:val="auto"/>
              </w:rPr>
            </w:pPr>
          </w:p>
        </w:tc>
        <w:tc>
          <w:tcPr>
            <w:tcW w:w="300" w:type="dxa"/>
            <w:vAlign w:val="bottom"/>
            <w:tcBorders>
              <w:bottom w:val="single" w:sz="8" w:color="CCEEFF"/>
            </w:tcBorders>
            <w:vMerge w:val="continue"/>
          </w:tcPr>
          <w:p>
            <w:pPr>
              <w:spacing w:after="0"/>
              <w:rPr>
                <w:sz w:val="18"/>
                <w:szCs w:val="18"/>
                <w:color w:val="auto"/>
              </w:rPr>
            </w:pPr>
          </w:p>
        </w:tc>
        <w:tc>
          <w:tcPr>
            <w:tcW w:w="860" w:type="dxa"/>
            <w:vAlign w:val="bottom"/>
            <w:tcBorders>
              <w:bottom w:val="single" w:sz="8" w:color="CCEEFF"/>
            </w:tcBorders>
            <w:vMerge w:val="continue"/>
          </w:tcPr>
          <w:p>
            <w:pPr>
              <w:spacing w:after="0"/>
              <w:rPr>
                <w:sz w:val="18"/>
                <w:szCs w:val="18"/>
                <w:color w:val="auto"/>
              </w:rPr>
            </w:pPr>
          </w:p>
        </w:tc>
        <w:tc>
          <w:tcPr>
            <w:tcW w:w="800" w:type="dxa"/>
            <w:vAlign w:val="bottom"/>
            <w:tcBorders>
              <w:bottom w:val="single" w:sz="8" w:color="CCEEFF"/>
            </w:tcBorders>
            <w:vMerge w:val="continue"/>
          </w:tcPr>
          <w:p>
            <w:pPr>
              <w:spacing w:after="0"/>
              <w:rPr>
                <w:sz w:val="18"/>
                <w:szCs w:val="18"/>
                <w:color w:val="auto"/>
              </w:rPr>
            </w:pPr>
          </w:p>
        </w:tc>
        <w:tc>
          <w:tcPr>
            <w:tcW w:w="1780" w:type="dxa"/>
            <w:vAlign w:val="bottom"/>
            <w:tcBorders>
              <w:bottom w:val="single" w:sz="8" w:color="CCEEFF"/>
            </w:tcBorders>
            <w:vMerge w:val="continue"/>
          </w:tcPr>
          <w:p>
            <w:pPr>
              <w:spacing w:after="0"/>
              <w:rPr>
                <w:sz w:val="18"/>
                <w:szCs w:val="18"/>
                <w:color w:val="auto"/>
              </w:rPr>
            </w:pPr>
          </w:p>
        </w:tc>
        <w:tc>
          <w:tcPr>
            <w:tcW w:w="1760" w:type="dxa"/>
            <w:vAlign w:val="bottom"/>
            <w:tcBorders>
              <w:bottom w:val="single" w:sz="8" w:color="CCEEFF"/>
            </w:tcBorders>
          </w:tcPr>
          <w:p>
            <w:pPr>
              <w:jc w:val="center"/>
              <w:ind w:left="41"/>
              <w:spacing w:after="0"/>
              <w:rPr>
                <w:sz w:val="20"/>
                <w:szCs w:val="20"/>
                <w:color w:val="auto"/>
              </w:rPr>
            </w:pPr>
            <w:r>
              <w:rPr>
                <w:rFonts w:ascii="Times New Roman" w:cs="Times New Roman" w:eastAsia="Times New Roman" w:hAnsi="Times New Roman"/>
                <w:sz w:val="16"/>
                <w:szCs w:val="16"/>
                <w:color w:val="auto"/>
                <w:w w:val="99"/>
              </w:rPr>
              <w:t>SOFR</w:t>
            </w:r>
          </w:p>
        </w:tc>
        <w:tc>
          <w:tcPr>
            <w:tcW w:w="104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82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issuance costs</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(12,280)</w:t>
            </w:r>
          </w:p>
        </w:tc>
        <w:tc>
          <w:tcPr>
            <w:tcW w:w="1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Fair value adjustment</w:t>
            </w:r>
          </w:p>
        </w:tc>
        <w:tc>
          <w:tcPr>
            <w:tcW w:w="30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78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(1,996)</w:t>
            </w:r>
          </w:p>
        </w:tc>
        <w:tc>
          <w:tcPr>
            <w:tcW w:w="18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subordinated debt</w:t>
            </w:r>
          </w:p>
        </w:tc>
        <w:tc>
          <w:tcPr>
            <w:tcW w:w="3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78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359,124</w:t>
            </w:r>
          </w:p>
        </w:tc>
        <w:tc>
          <w:tcPr>
            <w:tcW w:w="18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Beginning with the fixed to floating transition date and on any interest payment date thereafter, the Company may redeem the applicable Notes in whole or in part at a redemption price equal to 100% of the principal amount of the respective Notes to be redeemed plus accrued and unpaid interest to but excluding the date of redemption.</w:t>
      </w:r>
    </w:p>
    <w:p>
      <w:pPr>
        <w:spacing w:after="0" w:line="8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Company may also redeem any series of the Notes at any time, at the Company’s option, in whole or in part, if: (i) a change or prospective change in law occurs that could prevent the Company from deducting interest payable on the Notes for U.S. federal income tax purposes; (ii) a subsequent event occurs that could preclude the Notes from being recognized as Tier 2 capital for regulatory capital purposes; or (iii) the Company is required to register as an investment company under the Investment Company Act of 1940, as amended. In each case, the redemption price is 100% of the principal amount of the Notes being redeemed plus any accrued and unpaid interest to but excluding the redemption date. There is no sinking fund for the benefit of the Notes, and none of the Notes are convertible or exchangeable.</w:t>
      </w:r>
    </w:p>
    <w:p>
      <w:pPr>
        <w:spacing w:after="0" w:line="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1, 2025, the Company redeemed $60,000 of the fixed-to floating subordinated notes it assumed in connection with its acquisition of The First. During 2023, the Company purchased and subsequently extinguished $3,300 of its aggregate $200,000 fixed-to-floating subordinated notes and realized a gain of $620.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Long-Term Debt (continued)</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stated maturities of long-term debt outstanding at December 31, 2025, are summarized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Federal Home</w:t>
            </w:r>
          </w:p>
        </w:tc>
        <w:tc>
          <w:tcPr>
            <w:tcW w:w="16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Junior</w:t>
            </w:r>
          </w:p>
        </w:tc>
        <w:tc>
          <w:tcPr>
            <w:tcW w:w="160" w:type="dxa"/>
            <w:vAlign w:val="bottom"/>
          </w:tcPr>
          <w:p>
            <w:pPr>
              <w:spacing w:after="0"/>
              <w:rPr>
                <w:sz w:val="17"/>
                <w:szCs w:val="17"/>
                <w:color w:val="auto"/>
              </w:rPr>
            </w:pPr>
          </w:p>
        </w:tc>
        <w:tc>
          <w:tcPr>
            <w:tcW w:w="13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Subordinated</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5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220"/>
              <w:spacing w:after="0" w:line="178" w:lineRule="exact"/>
              <w:rPr>
                <w:sz w:val="20"/>
                <w:szCs w:val="20"/>
                <w:color w:val="auto"/>
              </w:rPr>
            </w:pPr>
            <w:r>
              <w:rPr>
                <w:rFonts w:ascii="Times New Roman" w:cs="Times New Roman" w:eastAsia="Times New Roman" w:hAnsi="Times New Roman"/>
                <w:sz w:val="18"/>
                <w:szCs w:val="18"/>
                <w:b w:val="1"/>
                <w:bCs w:val="1"/>
                <w:color w:val="auto"/>
                <w:w w:val="95"/>
              </w:rPr>
              <w:t>Loan Bank</w:t>
            </w:r>
          </w:p>
        </w:tc>
        <w:tc>
          <w:tcPr>
            <w:tcW w:w="160" w:type="dxa"/>
            <w:vAlign w:val="bottom"/>
          </w:tcPr>
          <w:p>
            <w:pPr>
              <w:spacing w:after="0"/>
              <w:rPr>
                <w:sz w:val="15"/>
                <w:szCs w:val="15"/>
                <w:color w:val="auto"/>
              </w:rPr>
            </w:pPr>
          </w:p>
        </w:tc>
        <w:tc>
          <w:tcPr>
            <w:tcW w:w="1300" w:type="dxa"/>
            <w:vAlign w:val="bottom"/>
            <w:gridSpan w:val="2"/>
          </w:tcPr>
          <w:p>
            <w:pPr>
              <w:jc w:val="center"/>
              <w:ind w:right="240"/>
              <w:spacing w:after="0" w:line="178" w:lineRule="exact"/>
              <w:rPr>
                <w:sz w:val="20"/>
                <w:szCs w:val="20"/>
                <w:color w:val="auto"/>
              </w:rPr>
            </w:pPr>
            <w:r>
              <w:rPr>
                <w:rFonts w:ascii="Times New Roman" w:cs="Times New Roman" w:eastAsia="Times New Roman" w:hAnsi="Times New Roman"/>
                <w:sz w:val="18"/>
                <w:szCs w:val="18"/>
                <w:b w:val="1"/>
                <w:bCs w:val="1"/>
                <w:color w:val="auto"/>
                <w:w w:val="96"/>
              </w:rPr>
              <w:t>subordinated</w:t>
            </w:r>
          </w:p>
        </w:tc>
        <w:tc>
          <w:tcPr>
            <w:tcW w:w="16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vMerge w:val="restart"/>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4"/>
        </w:trPr>
        <w:tc>
          <w:tcPr>
            <w:tcW w:w="5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advances</w:t>
            </w:r>
          </w:p>
        </w:tc>
        <w:tc>
          <w:tcPr>
            <w:tcW w:w="160" w:type="dxa"/>
            <w:vAlign w:val="bottom"/>
          </w:tcPr>
          <w:p>
            <w:pPr>
              <w:spacing w:after="0"/>
              <w:rPr>
                <w:sz w:val="19"/>
                <w:szCs w:val="19"/>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debentures</w:t>
            </w:r>
          </w:p>
        </w:tc>
        <w:tc>
          <w:tcPr>
            <w:tcW w:w="16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4"/>
              </w:rPr>
              <w:t>notes</w:t>
            </w:r>
          </w:p>
        </w:tc>
        <w:tc>
          <w:tcPr>
            <w:tcW w:w="3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19"/>
                <w:szCs w:val="19"/>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tcPr>
          <w:p>
            <w:pPr>
              <w:spacing w:after="0"/>
              <w:rPr>
                <w:sz w:val="19"/>
                <w:szCs w:val="19"/>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Pr>
          <w:p>
            <w:pPr>
              <w:spacing w:after="0"/>
              <w:rPr>
                <w:sz w:val="19"/>
                <w:szCs w:val="19"/>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140,632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359,124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499,756</w:t>
            </w:r>
          </w:p>
        </w:tc>
        <w:tc>
          <w:tcPr>
            <w:tcW w:w="0" w:type="dxa"/>
            <w:vAlign w:val="bottom"/>
          </w:tcPr>
          <w:p>
            <w:pPr>
              <w:spacing w:after="0"/>
              <w:rPr>
                <w:sz w:val="1"/>
                <w:szCs w:val="1"/>
                <w:color w:val="auto"/>
              </w:rPr>
            </w:pPr>
          </w:p>
        </w:tc>
      </w:tr>
      <w:tr>
        <w:trPr>
          <w:trHeight w:val="242"/>
        </w:trPr>
        <w:tc>
          <w:tcPr>
            <w:tcW w:w="5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140,632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499,756</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13 – Employee Benefit and Deferred Compensation Plans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2"/>
        </w:trPr>
        <w:tc>
          <w:tcPr>
            <w:tcW w:w="54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54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 in Thousands, Except Share Data)</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54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Pension and Post-retirement Medical Plans</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Company sponsors a noncontributory defined benefit pension plan, under which participation and benefit accruals ceased as of December 31, 1996. The Company’s funding policy is to contribute annually to the plan an amount not less than the minimum required contribution, as determined annually by consulting actuaries in accordance with funding standards imposed under the Internal Revenue Code of 1986, as amended (“the Code”). No contributions were made or required in 2025 or 2024. The Company does not anticipate that a contribution will be required in 2026. The plan’s accumulated benefit obligation and projected benefit obligation are substantially the same since benefit accruals have ceased. The accumulated benefit obligation was $18,590 and $18,685 at December 31, 2025 and 2024, respectively. There is no additional minimum pension liability required to be recognized.</w:t>
      </w:r>
    </w:p>
    <w:p>
      <w:pPr>
        <w:spacing w:after="0" w:line="13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Company provides retiree medical benefits, consisting of the opportunity to purchase coverage at subsidized rates under the Company’s group medical plan. Employees eligible to participate must (i) have been employed by the Company and enrolled in the Company’s group medical plan as of December 31, 2004 and (ii) retire from the Company between ages 55 and 65 with at least 15 years of service or 70 points (points determined as the sum of the employee’s age and years of service). The Company periodically determines the portion of the premiums to be paid by each retiree and the portion to be paid by the Company. Coverage ceases when a retiree attains age 65 and is eligible for Medicare. The Company did not contribute to the plan in 2025 or 2024; the Company expects to contribute approximately $50 in 2026. The assumed rate of increase in the per capita cost of covered benefits (i.e., the health care cost trend rate) for 2025 is 8.55%. Increasing or decreasing the assumed health care cost trend rates by one percentage point in each year would not materially increase or decrease the accumulated post-retirement benefit obligation or the service and interest cost components of net periodic post-retirement benefit costs as of December 31, 2025 and for the year 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Employee Benefit and Deferred Compensation Plans (continued)</w:t>
      </w:r>
    </w:p>
    <w:p>
      <w:pPr>
        <w:spacing w:after="0" w:line="26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following table presents information relating to the defined benefit pension plan maintained by Renasant Bank (“Pension Benefits - Renasant”) and the post-retirement health plan (“Other Benefits”) as of December 31, 2025 and 2024:</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40" w:type="dxa"/>
            <w:vAlign w:val="bottom"/>
            <w:gridSpan w:val="5"/>
          </w:tcPr>
          <w:p>
            <w:pPr>
              <w:ind w:left="120"/>
              <w:spacing w:after="0"/>
              <w:rPr>
                <w:sz w:val="20"/>
                <w:szCs w:val="20"/>
                <w:color w:val="auto"/>
              </w:rPr>
            </w:pPr>
            <w:r>
              <w:rPr>
                <w:rFonts w:ascii="Times New Roman" w:cs="Times New Roman" w:eastAsia="Times New Roman" w:hAnsi="Times New Roman"/>
                <w:sz w:val="17"/>
                <w:szCs w:val="17"/>
                <w:b w:val="1"/>
                <w:bCs w:val="1"/>
                <w:color w:val="auto"/>
              </w:rPr>
              <w:t>Pension Benefits Renasant</w:t>
            </w:r>
          </w:p>
        </w:tc>
        <w:tc>
          <w:tcPr>
            <w:tcW w:w="280" w:type="dxa"/>
            <w:vAlign w:val="bottom"/>
          </w:tcPr>
          <w:p>
            <w:pPr>
              <w:spacing w:after="0"/>
              <w:rPr>
                <w:sz w:val="19"/>
                <w:szCs w:val="19"/>
                <w:color w:val="auto"/>
              </w:rPr>
            </w:pPr>
          </w:p>
        </w:tc>
        <w:tc>
          <w:tcPr>
            <w:tcW w:w="2260" w:type="dxa"/>
            <w:vAlign w:val="bottom"/>
            <w:gridSpan w:val="4"/>
          </w:tcPr>
          <w:p>
            <w:pPr>
              <w:jc w:val="right"/>
              <w:ind w:right="653"/>
              <w:spacing w:after="0"/>
              <w:rPr>
                <w:sz w:val="20"/>
                <w:szCs w:val="20"/>
                <w:color w:val="auto"/>
              </w:rPr>
            </w:pPr>
            <w:r>
              <w:rPr>
                <w:rFonts w:ascii="Times New Roman" w:cs="Times New Roman" w:eastAsia="Times New Roman" w:hAnsi="Times New Roman"/>
                <w:sz w:val="17"/>
                <w:szCs w:val="17"/>
                <w:b w:val="1"/>
                <w:bCs w:val="1"/>
                <w:color w:val="auto"/>
              </w:rPr>
              <w:t>Other Benefits</w:t>
            </w:r>
          </w:p>
        </w:tc>
        <w:tc>
          <w:tcPr>
            <w:tcW w:w="0" w:type="dxa"/>
            <w:vAlign w:val="bottom"/>
          </w:tcPr>
          <w:p>
            <w:pPr>
              <w:spacing w:after="0"/>
              <w:rPr>
                <w:sz w:val="1"/>
                <w:szCs w:val="1"/>
                <w:color w:val="auto"/>
              </w:rPr>
            </w:pPr>
          </w:p>
        </w:tc>
      </w:tr>
      <w:tr>
        <w:trPr>
          <w:trHeight w:val="222"/>
        </w:trPr>
        <w:tc>
          <w:tcPr>
            <w:tcW w:w="60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205"/>
        </w:trPr>
        <w:tc>
          <w:tcPr>
            <w:tcW w:w="6040" w:type="dxa"/>
            <w:vAlign w:val="bottom"/>
            <w:shd w:val="clear" w:color="auto" w:fill="CCEEFF"/>
          </w:tcPr>
          <w:p>
            <w:pPr>
              <w:ind w:left="20"/>
              <w:spacing w:after="0" w:line="206" w:lineRule="exact"/>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18,685</w:t>
            </w:r>
          </w:p>
        </w:tc>
        <w:tc>
          <w:tcPr>
            <w:tcW w:w="12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20,195</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24"/>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20" w:type="dxa"/>
            <w:vAlign w:val="bottom"/>
          </w:tcPr>
          <w:p>
            <w:pPr>
              <w:spacing w:after="0"/>
              <w:rPr>
                <w:sz w:val="19"/>
                <w:szCs w:val="19"/>
                <w:color w:val="auto"/>
              </w:rPr>
            </w:pPr>
          </w:p>
        </w:tc>
        <w:tc>
          <w:tcPr>
            <w:tcW w:w="10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948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4"/>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4"/>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Actuarial loss (gain)</w:t>
            </w:r>
          </w:p>
        </w:tc>
        <w:tc>
          <w:tcPr>
            <w:tcW w:w="220" w:type="dxa"/>
            <w:vAlign w:val="bottom"/>
          </w:tcPr>
          <w:p>
            <w:pPr>
              <w:spacing w:after="0"/>
              <w:rPr>
                <w:sz w:val="19"/>
                <w:szCs w:val="19"/>
                <w:color w:val="auto"/>
              </w:rPr>
            </w:pPr>
          </w:p>
        </w:tc>
        <w:tc>
          <w:tcPr>
            <w:tcW w:w="10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701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24"/>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(1,744)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(1,798)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7"/>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18,590</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18,685</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04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b w:val="1"/>
                <w:bCs w:val="1"/>
                <w:color w:val="auto"/>
              </w:rPr>
              <w:t>Change in fair value of plan assets</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19,148</w:t>
            </w:r>
          </w:p>
        </w:tc>
        <w:tc>
          <w:tcPr>
            <w:tcW w:w="12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20,119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2,189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 by employer</w:t>
            </w:r>
          </w:p>
        </w:tc>
        <w:tc>
          <w:tcPr>
            <w:tcW w:w="22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(1,744)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(1,798)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19,593</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19,148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604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6040" w:type="dxa"/>
            <w:vAlign w:val="bottom"/>
            <w:tcBorders>
              <w:top w:val="single" w:sz="8" w:color="CCEEFF"/>
              <w:bottom w:val="single" w:sz="8" w:color="CCEEFF"/>
            </w:tcBorders>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b w:val="1"/>
                <w:bCs w:val="1"/>
                <w:color w:val="auto"/>
              </w:rPr>
              <w:t>Funded status at end of year</w:t>
            </w:r>
          </w:p>
        </w:tc>
        <w:tc>
          <w:tcPr>
            <w:tcW w:w="220" w:type="dxa"/>
            <w:vAlign w:val="bottom"/>
            <w:tcBorders>
              <w:top w:val="single" w:sz="8" w:color="auto"/>
              <w:bottom w:val="single" w:sz="8" w:color="auto"/>
            </w:tcBorders>
            <w:shd w:val="clear" w:color="auto" w:fill="CCEEFF"/>
          </w:tcPr>
          <w:p>
            <w:pPr>
              <w:jc w:val="right"/>
              <w:ind w:right="12"/>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ind w:right="113"/>
              <w:spacing w:after="0" w:line="196" w:lineRule="exact"/>
              <w:rPr>
                <w:sz w:val="20"/>
                <w:szCs w:val="20"/>
                <w:color w:val="auto"/>
              </w:rPr>
            </w:pPr>
            <w:r>
              <w:rPr>
                <w:rFonts w:ascii="Times New Roman" w:cs="Times New Roman" w:eastAsia="Times New Roman" w:hAnsi="Times New Roman"/>
                <w:sz w:val="18"/>
                <w:szCs w:val="18"/>
                <w:color w:val="auto"/>
              </w:rPr>
              <w:t>1,003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ind w:right="133"/>
              <w:spacing w:after="0" w:line="196" w:lineRule="exact"/>
              <w:rPr>
                <w:sz w:val="20"/>
                <w:szCs w:val="20"/>
                <w:color w:val="auto"/>
              </w:rPr>
            </w:pPr>
            <w:r>
              <w:rPr>
                <w:rFonts w:ascii="Times New Roman" w:cs="Times New Roman" w:eastAsia="Times New Roman" w:hAnsi="Times New Roman"/>
                <w:sz w:val="18"/>
                <w:szCs w:val="18"/>
                <w:color w:val="auto"/>
              </w:rPr>
              <w:t>463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auto"/>
            </w:tcBorders>
            <w:shd w:val="clear" w:color="auto" w:fill="CCEEFF"/>
          </w:tcPr>
          <w:p>
            <w:pPr>
              <w:jc w:val="right"/>
              <w:ind w:right="9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CCEEFF"/>
              <w:bottom w:val="single" w:sz="8" w:color="auto"/>
            </w:tcBorders>
            <w:shd w:val="clear" w:color="auto" w:fill="CCEEFF"/>
          </w:tcPr>
          <w:p>
            <w:pPr>
              <w:jc w:val="right"/>
              <w:ind w:right="93"/>
              <w:spacing w:after="0" w:line="196" w:lineRule="exact"/>
              <w:rPr>
                <w:sz w:val="20"/>
                <w:szCs w:val="20"/>
                <w:color w:val="auto"/>
              </w:rPr>
            </w:pPr>
            <w:r>
              <w:rPr>
                <w:rFonts w:ascii="Times New Roman" w:cs="Times New Roman" w:eastAsia="Times New Roman" w:hAnsi="Times New Roman"/>
                <w:sz w:val="18"/>
                <w:szCs w:val="18"/>
                <w:color w:val="auto"/>
              </w:rPr>
              <w:t>(279)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auto"/>
            </w:tcBorders>
            <w:shd w:val="clear" w:color="auto" w:fill="CCEEFF"/>
          </w:tcPr>
          <w:p>
            <w:pPr>
              <w:jc w:val="right"/>
              <w:ind w:right="9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CCEEFF"/>
              <w:bottom w:val="single" w:sz="8" w:color="auto"/>
            </w:tcBorders>
            <w:shd w:val="clear" w:color="auto" w:fill="CCEEFF"/>
          </w:tcPr>
          <w:p>
            <w:pPr>
              <w:jc w:val="right"/>
              <w:ind w:right="73"/>
              <w:spacing w:after="0" w:line="196" w:lineRule="exact"/>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assumptions as of December 31</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0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 used to determine the benefit obligation</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4.99 %</w:t>
            </w:r>
          </w:p>
        </w:tc>
        <w:tc>
          <w:tcPr>
            <w:tcW w:w="0" w:type="dxa"/>
            <w:vAlign w:val="bottom"/>
          </w:tcPr>
          <w:p>
            <w:pPr>
              <w:spacing w:after="0"/>
              <w:rPr>
                <w:sz w:val="1"/>
                <w:szCs w:val="1"/>
                <w:color w:val="auto"/>
              </w:rPr>
            </w:pPr>
          </w:p>
        </w:tc>
      </w:tr>
    </w:tbl>
    <w:p>
      <w:pPr>
        <w:spacing w:after="0" w:line="23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funded status at end of the year for Pension Benefits - Renasant and Other Benefits are included in “Other assets” and “Other liabilities,” respectively, on the Consolidated Balance Sheets. The discount rate assumptions at December 31, 2025 were determined using a yield curve approach. A yield curve was developed from a selection of high quality fixed-income investments whose cash flows approximate the timing and amount of expected cash flows from the plans. The selected discount rate is the rate that produces the same present value of the plans’ projected benefit payments.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Employee Benefit and Deferred Compensation Plans (continued)</w:t>
      </w:r>
    </w:p>
    <w:p>
      <w:pPr>
        <w:spacing w:after="0" w:line="269"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The components of net periodic benefit cost and other amounts recognized in other comprehensive income for the defined benefit pension and post-retirement health plans for the years ended December 31, 2025, 2024 and 2023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7"/>
                <w:szCs w:val="17"/>
                <w:b w:val="1"/>
                <w:bCs w:val="1"/>
                <w:color w:val="auto"/>
              </w:rPr>
              <w:t>Pension Benefits Renasant</w:t>
            </w:r>
          </w:p>
        </w:tc>
        <w:tc>
          <w:tcPr>
            <w:tcW w:w="6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7"/>
                <w:szCs w:val="17"/>
                <w:b w:val="1"/>
                <w:bCs w:val="1"/>
                <w:color w:val="auto"/>
                <w:w w:val="97"/>
              </w:rPr>
              <w:t>Other Benefits</w:t>
            </w: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w w:val="93"/>
              </w:rPr>
              <w:t>2025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w w:val="93"/>
              </w:rPr>
              <w:t>2023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60" w:type="dxa"/>
            <w:vAlign w:val="bottom"/>
          </w:tcPr>
          <w:p>
            <w:pPr>
              <w:spacing w:after="0"/>
              <w:rPr>
                <w:sz w:val="19"/>
                <w:szCs w:val="19"/>
                <w:color w:val="auto"/>
              </w:rPr>
            </w:pPr>
          </w:p>
        </w:tc>
        <w:tc>
          <w:tcPr>
            <w:tcW w:w="1040" w:type="dxa"/>
            <w:vAlign w:val="bottom"/>
            <w:gridSpan w:val="4"/>
          </w:tcPr>
          <w:p>
            <w:pPr>
              <w:jc w:val="right"/>
              <w:ind w:right="232"/>
              <w:spacing w:after="0"/>
              <w:rPr>
                <w:sz w:val="20"/>
                <w:szCs w:val="20"/>
                <w:color w:val="auto"/>
              </w:rPr>
            </w:pPr>
            <w:r>
              <w:rPr>
                <w:rFonts w:ascii="Times New Roman" w:cs="Times New Roman" w:eastAsia="Times New Roman" w:hAnsi="Times New Roman"/>
                <w:sz w:val="17"/>
                <w:szCs w:val="17"/>
                <w:b w:val="1"/>
                <w:bCs w:val="1"/>
                <w:color w:val="auto"/>
              </w:rPr>
              <w:t>2024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2023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4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995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Recognized actuarial loss (gain)</w:t>
            </w:r>
          </w:p>
        </w:tc>
        <w:tc>
          <w:tcPr>
            <w:tcW w:w="4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523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(88)</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(93)</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282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actuarial gain arising during the period</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420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w w:val="99"/>
              </w:rPr>
              <w:t>Amortization of net actuarial (loss) gain recognized in net</w:t>
            </w:r>
          </w:p>
        </w:tc>
        <w:tc>
          <w:tcPr>
            <w:tcW w:w="4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periodic pension cost</w:t>
            </w:r>
          </w:p>
        </w:tc>
        <w:tc>
          <w:tcPr>
            <w:tcW w:w="4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(523)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88</w:t>
            </w:r>
          </w:p>
        </w:tc>
        <w:tc>
          <w:tcPr>
            <w:tcW w:w="6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94</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recognized in other comprehensive income</w:t>
            </w:r>
          </w:p>
        </w:tc>
        <w:tc>
          <w:tcPr>
            <w:tcW w:w="4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(583)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(102)</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4200" w:type="dxa"/>
            <w:vAlign w:val="bottom"/>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color w:val="auto"/>
              </w:rPr>
              <w:t>Total recognized in net periodic benefit cost and other</w:t>
            </w:r>
          </w:p>
        </w:tc>
        <w:tc>
          <w:tcPr>
            <w:tcW w:w="740" w:type="dxa"/>
            <w:vAlign w:val="bottom"/>
            <w:gridSpan w:val="2"/>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540" w:type="dxa"/>
            <w:vAlign w:val="bottom"/>
            <w:gridSpan w:val="3"/>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(301)</w:t>
            </w:r>
          </w:p>
        </w:tc>
        <w:tc>
          <w:tcPr>
            <w:tcW w:w="40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(170)</w:t>
            </w:r>
          </w:p>
        </w:tc>
        <w:tc>
          <w:tcPr>
            <w:tcW w:w="60" w:type="dxa"/>
            <w:vAlign w:val="bottom"/>
            <w:shd w:val="clear" w:color="auto" w:fill="CCEEFF"/>
          </w:tcPr>
          <w:p>
            <w:pPr>
              <w:spacing w:after="0"/>
              <w:rPr>
                <w:sz w:val="13"/>
                <w:szCs w:val="13"/>
                <w:color w:val="auto"/>
              </w:rPr>
            </w:pPr>
          </w:p>
        </w:tc>
        <w:tc>
          <w:tcPr>
            <w:tcW w:w="4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(67)</w:t>
            </w:r>
          </w:p>
        </w:tc>
        <w:tc>
          <w:tcPr>
            <w:tcW w:w="40" w:type="dxa"/>
            <w:vAlign w:val="bottom"/>
            <w:shd w:val="clear" w:color="auto" w:fill="CCEEFF"/>
          </w:tcPr>
          <w:p>
            <w:pPr>
              <w:spacing w:after="0"/>
              <w:rPr>
                <w:sz w:val="13"/>
                <w:szCs w:val="13"/>
                <w:color w:val="auto"/>
              </w:rPr>
            </w:pPr>
          </w:p>
        </w:tc>
        <w:tc>
          <w:tcPr>
            <w:tcW w:w="36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740" w:type="dxa"/>
            <w:vAlign w:val="bottom"/>
            <w:gridSpan w:val="2"/>
            <w:vMerge w:val="continue"/>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540" w:type="dxa"/>
            <w:vAlign w:val="bottom"/>
            <w:gridSpan w:val="3"/>
            <w:vMerge w:val="continue"/>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400" w:type="dxa"/>
            <w:vAlign w:val="bottom"/>
            <w:gridSpan w:val="3"/>
            <w:vMerge w:val="continue"/>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6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60" w:type="dxa"/>
            <w:vAlign w:val="bottom"/>
            <w:gridSpan w:val="2"/>
            <w:vMerge w:val="continue"/>
            <w:shd w:val="clear" w:color="auto" w:fill="CCEEFF"/>
          </w:tcPr>
          <w:p>
            <w:pPr>
              <w:spacing w:after="0"/>
              <w:rPr>
                <w:sz w:val="20"/>
                <w:szCs w:val="20"/>
                <w:color w:val="auto"/>
              </w:rPr>
            </w:pPr>
          </w:p>
        </w:tc>
        <w:tc>
          <w:tcPr>
            <w:tcW w:w="700" w:type="dxa"/>
            <w:vAlign w:val="bottom"/>
            <w:vMerge w:val="continue"/>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assumptions as of December 31</w:t>
            </w:r>
          </w:p>
        </w:tc>
        <w:tc>
          <w:tcPr>
            <w:tcW w:w="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2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 used to determine net periodic pension cost</w:t>
            </w:r>
          </w:p>
        </w:tc>
        <w:tc>
          <w:tcPr>
            <w:tcW w:w="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left="93"/>
              <w:spacing w:after="0"/>
              <w:rPr>
                <w:sz w:val="20"/>
                <w:szCs w:val="20"/>
                <w:color w:val="auto"/>
              </w:rPr>
            </w:pPr>
            <w:r>
              <w:rPr>
                <w:rFonts w:ascii="Times New Roman" w:cs="Times New Roman" w:eastAsia="Times New Roman" w:hAnsi="Times New Roman"/>
                <w:sz w:val="18"/>
                <w:szCs w:val="18"/>
                <w:color w:val="auto"/>
                <w:w w:val="97"/>
              </w:rPr>
              <w:t>4.99 %</w:t>
            </w:r>
          </w:p>
        </w:tc>
        <w:tc>
          <w:tcPr>
            <w:tcW w:w="60" w:type="dxa"/>
            <w:vAlign w:val="bottom"/>
            <w:shd w:val="clear" w:color="auto" w:fill="CCEEFF"/>
          </w:tcPr>
          <w:p>
            <w:pPr>
              <w:spacing w:after="0"/>
              <w:rPr>
                <w:sz w:val="19"/>
                <w:szCs w:val="19"/>
                <w:color w:val="auto"/>
              </w:rPr>
            </w:pP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5.20 %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8"/>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Future   estimated   benefit   payments   under   the</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Renasant</w:t>
            </w:r>
          </w:p>
        </w:tc>
        <w:tc>
          <w:tcPr>
            <w:tcW w:w="7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96"/>
              </w:rPr>
              <w:t>defined</w:t>
            </w:r>
          </w:p>
        </w:tc>
        <w:tc>
          <w:tcPr>
            <w:tcW w:w="160" w:type="dxa"/>
            <w:vAlign w:val="bottom"/>
          </w:tcPr>
          <w:p>
            <w:pPr>
              <w:spacing w:after="0"/>
              <w:rPr>
                <w:sz w:val="24"/>
                <w:szCs w:val="24"/>
                <w:color w:val="auto"/>
              </w:rPr>
            </w:pPr>
          </w:p>
        </w:tc>
        <w:tc>
          <w:tcPr>
            <w:tcW w:w="7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benefit</w:t>
            </w:r>
          </w:p>
        </w:tc>
        <w:tc>
          <w:tcPr>
            <w:tcW w:w="1220" w:type="dxa"/>
            <w:vAlign w:val="bottom"/>
            <w:gridSpan w:val="4"/>
          </w:tcPr>
          <w:p>
            <w:pPr>
              <w:jc w:val="right"/>
              <w:ind w:right="33"/>
              <w:spacing w:after="0"/>
              <w:rPr>
                <w:sz w:val="20"/>
                <w:szCs w:val="20"/>
                <w:color w:val="auto"/>
              </w:rPr>
            </w:pPr>
            <w:r>
              <w:rPr>
                <w:rFonts w:ascii="Times New Roman" w:cs="Times New Roman" w:eastAsia="Times New Roman" w:hAnsi="Times New Roman"/>
                <w:sz w:val="18"/>
                <w:szCs w:val="18"/>
                <w:color w:val="auto"/>
              </w:rPr>
              <w:t>pension   plan</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and</w:t>
            </w: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w w:val="94"/>
              </w:rPr>
              <w:t>benefits</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are</w:t>
            </w:r>
          </w:p>
        </w:tc>
        <w:tc>
          <w:tcPr>
            <w:tcW w:w="80" w:type="dxa"/>
            <w:vAlign w:val="bottom"/>
          </w:tcPr>
          <w:p>
            <w:pPr>
              <w:spacing w:after="0"/>
              <w:rPr>
                <w:sz w:val="24"/>
                <w:szCs w:val="24"/>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w:t>
            </w:r>
          </w:p>
        </w:tc>
        <w:tc>
          <w:tcPr>
            <w:tcW w:w="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4"/>
              </w:rPr>
              <w:t>follows:</w:t>
            </w:r>
          </w:p>
        </w:tc>
        <w:tc>
          <w:tcPr>
            <w:tcW w:w="0" w:type="dxa"/>
            <w:vAlign w:val="bottom"/>
          </w:tcPr>
          <w:p>
            <w:pPr>
              <w:spacing w:after="0"/>
              <w:rPr>
                <w:sz w:val="1"/>
                <w:szCs w:val="1"/>
                <w:color w:val="auto"/>
              </w:rPr>
            </w:pPr>
          </w:p>
        </w:tc>
      </w:tr>
      <w:tr>
        <w:trPr>
          <w:trHeight w:val="185"/>
        </w:trPr>
        <w:tc>
          <w:tcPr>
            <w:tcW w:w="4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6"/>
          </w:tcPr>
          <w:p>
            <w:pPr>
              <w:jc w:val="center"/>
              <w:ind w:right="200"/>
              <w:spacing w:after="0" w:line="185" w:lineRule="exact"/>
              <w:rPr>
                <w:sz w:val="20"/>
                <w:szCs w:val="20"/>
                <w:color w:val="auto"/>
              </w:rPr>
            </w:pPr>
            <w:r>
              <w:rPr>
                <w:rFonts w:ascii="Times New Roman" w:cs="Times New Roman" w:eastAsia="Times New Roman" w:hAnsi="Times New Roman"/>
                <w:sz w:val="17"/>
                <w:szCs w:val="17"/>
                <w:b w:val="1"/>
                <w:bCs w:val="1"/>
                <w:color w:val="auto"/>
                <w:w w:val="98"/>
              </w:rPr>
              <w:t>Pension Benefits</w:t>
            </w: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3"/>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Other</w:t>
            </w:r>
          </w:p>
        </w:tc>
        <w:tc>
          <w:tcPr>
            <w:tcW w:w="0" w:type="dxa"/>
            <w:vAlign w:val="bottom"/>
          </w:tcPr>
          <w:p>
            <w:pPr>
              <w:spacing w:after="0"/>
              <w:rPr>
                <w:sz w:val="1"/>
                <w:szCs w:val="1"/>
                <w:color w:val="auto"/>
              </w:rPr>
            </w:pPr>
          </w:p>
        </w:tc>
      </w:tr>
      <w:tr>
        <w:trPr>
          <w:trHeight w:val="220"/>
        </w:trPr>
        <w:tc>
          <w:tcPr>
            <w:tcW w:w="42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Renasant</w:t>
            </w: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7"/>
                <w:szCs w:val="17"/>
                <w:b w:val="1"/>
                <w:bCs w:val="1"/>
                <w:color w:val="auto"/>
              </w:rPr>
              <w:t>Benefits</w:t>
            </w:r>
          </w:p>
        </w:tc>
        <w:tc>
          <w:tcPr>
            <w:tcW w:w="0" w:type="dxa"/>
            <w:vAlign w:val="bottom"/>
          </w:tcPr>
          <w:p>
            <w:pPr>
              <w:spacing w:after="0"/>
              <w:rPr>
                <w:sz w:val="1"/>
                <w:szCs w:val="1"/>
                <w:color w:val="auto"/>
              </w:rPr>
            </w:pPr>
          </w:p>
        </w:tc>
      </w:tr>
      <w:tr>
        <w:trPr>
          <w:trHeight w:val="22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2,118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1,957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1,926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1,857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1,801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2031 - 2035</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7,300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accumulated other comprehensive income, before tax, for the year ended December 31, 2025 are as follows: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8"/>
              </w:rPr>
              <w:t>Pension Benefits</w:t>
            </w:r>
          </w:p>
        </w:tc>
        <w:tc>
          <w:tcPr>
            <w:tcW w:w="300" w:type="dxa"/>
            <w:vAlign w:val="bottom"/>
          </w:tcPr>
          <w:p>
            <w:pPr>
              <w:spacing w:after="0"/>
              <w:rPr>
                <w:sz w:val="16"/>
                <w:szCs w:val="16"/>
                <w:color w:val="auto"/>
              </w:rPr>
            </w:pPr>
          </w:p>
        </w:tc>
        <w:tc>
          <w:tcPr>
            <w:tcW w:w="1320" w:type="dxa"/>
            <w:vAlign w:val="bottom"/>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Other</w:t>
            </w:r>
          </w:p>
        </w:tc>
      </w:tr>
      <w:tr>
        <w:trPr>
          <w:trHeight w:val="222"/>
        </w:trPr>
        <w:tc>
          <w:tcPr>
            <w:tcW w:w="7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6"/>
              </w:rPr>
              <w:t>Renasant</w:t>
            </w:r>
          </w:p>
        </w:tc>
        <w:tc>
          <w:tcPr>
            <w:tcW w:w="300" w:type="dxa"/>
            <w:vAlign w:val="bottom"/>
          </w:tcPr>
          <w:p>
            <w:pPr>
              <w:spacing w:after="0"/>
              <w:rPr>
                <w:sz w:val="19"/>
                <w:szCs w:val="19"/>
                <w:color w:val="auto"/>
              </w:rPr>
            </w:pPr>
          </w:p>
        </w:tc>
        <w:tc>
          <w:tcPr>
            <w:tcW w:w="132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Benefits</w:t>
            </w:r>
          </w:p>
        </w:tc>
      </w:tr>
      <w:tr>
        <w:trPr>
          <w:trHeight w:val="218"/>
        </w:trPr>
        <w:tc>
          <w:tcPr>
            <w:tcW w:w="7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 service cost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Actuarial loss (gain)</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42"/>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costs that will be amortized from accumulated other comprehensive income into net periodic benefit cost during 2026 are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8"/>
              </w:rPr>
              <w:t>Pension Benefits</w:t>
            </w:r>
          </w:p>
        </w:tc>
        <w:tc>
          <w:tcPr>
            <w:tcW w:w="300" w:type="dxa"/>
            <w:vAlign w:val="bottom"/>
          </w:tcPr>
          <w:p>
            <w:pPr>
              <w:spacing w:after="0"/>
              <w:rPr>
                <w:sz w:val="16"/>
                <w:szCs w:val="16"/>
                <w:color w:val="auto"/>
              </w:rPr>
            </w:pPr>
          </w:p>
        </w:tc>
        <w:tc>
          <w:tcPr>
            <w:tcW w:w="1320" w:type="dxa"/>
            <w:vAlign w:val="bottom"/>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Other</w:t>
            </w:r>
          </w:p>
        </w:tc>
      </w:tr>
      <w:tr>
        <w:trPr>
          <w:trHeight w:val="222"/>
        </w:trPr>
        <w:tc>
          <w:tcPr>
            <w:tcW w:w="7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6"/>
              </w:rPr>
              <w:t>Renasant</w:t>
            </w:r>
          </w:p>
        </w:tc>
        <w:tc>
          <w:tcPr>
            <w:tcW w:w="300" w:type="dxa"/>
            <w:vAlign w:val="bottom"/>
          </w:tcPr>
          <w:p>
            <w:pPr>
              <w:spacing w:after="0"/>
              <w:rPr>
                <w:sz w:val="19"/>
                <w:szCs w:val="19"/>
                <w:color w:val="auto"/>
              </w:rPr>
            </w:pPr>
          </w:p>
        </w:tc>
        <w:tc>
          <w:tcPr>
            <w:tcW w:w="132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Benefits</w:t>
            </w:r>
          </w:p>
        </w:tc>
      </w:tr>
      <w:tr>
        <w:trPr>
          <w:trHeight w:val="218"/>
        </w:trPr>
        <w:tc>
          <w:tcPr>
            <w:tcW w:w="7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 service cost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Actuarial loss (gain)</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42"/>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Employee Benefit and Deferred Compensation Plans (continued)</w:t>
      </w:r>
    </w:p>
    <w:p>
      <w:pPr>
        <w:spacing w:after="0" w:line="200" w:lineRule="exact"/>
        <w:rPr>
          <w:sz w:val="20"/>
          <w:szCs w:val="20"/>
          <w:color w:val="auto"/>
        </w:rPr>
      </w:pPr>
    </w:p>
    <w:p>
      <w:pPr>
        <w:spacing w:after="0" w:line="27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Approximately 85% of the pension plan’s assets are invested in a collective trust, which in turn invests in other collective or pooled trusts with individual investment mandates. The collective trust’s asset allocation is approximately 70% in growth assets, consisting of interests in trusts invested in equity securities, high yield fixed income securities, and direct real estate investments (approximately 9% of assets), and approximately 30% in assets intended to hedge against the volatility arising from interest rate risk, consisting of interests in trusts invested in long duration fixed income securities. The collective trust is actively managed, allowing changes in the asset allocation to enhance returns and mitigate risk, with the mandate to preserve the funded status of the plan through portfolio growth and interest rate hedging. Management’s investment committee periodically reviews the collective trust’s performance and asset allocation to ensure that the plan’s investment objectives are satisfied and that the investment strategy of the trust has not materially changed.</w:t>
      </w:r>
    </w:p>
    <w:p>
      <w:pPr>
        <w:spacing w:after="0" w:line="1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remaining 15% of the pension plan’s assets are managed by Park Place Capital Corporation, a wholly owned subsidiary of the Company. These assets are invested in large cap securities on which covered call options are written to generate income.</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expected long-term rate of return was estimated using market benchmarks for investment classes applied to the plan’s target asset allocation and was computed using a valuation methodology which projects future returns based on current valuations rather than historical returns.</w:t>
      </w:r>
    </w:p>
    <w:p>
      <w:pPr>
        <w:spacing w:after="0" w:line="1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fair values of the Company’s defined benefit pension plan assets by category at December 31, 2025 and 2024 are below. Level 1 includes cash and cash equivalents and corporate stocks, in which the fair value is determined by quoted market prices. Level 2 includes U.S. government securities in which the value is determined by market prices of similar securities. Investments in collective trusts consist of trusts that invest primarily in liquid equity and fixed income securities and have a small direct investment in real estate. There is generally no restriction on redemptions or withdrawals for benefit payments or in the event of plan termination; 60 days notice is required to redeem or withdraw assets for any other purpose.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240" w:type="dxa"/>
            <w:vAlign w:val="bottom"/>
          </w:tcPr>
          <w:p>
            <w:pPr>
              <w:spacing w:after="0"/>
              <w:rPr>
                <w:sz w:val="13"/>
                <w:szCs w:val="13"/>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180" w:type="dxa"/>
            <w:vAlign w:val="bottom"/>
          </w:tcPr>
          <w:p>
            <w:pPr>
              <w:spacing w:after="0"/>
              <w:rPr>
                <w:sz w:val="13"/>
                <w:szCs w:val="13"/>
                <w:color w:val="auto"/>
              </w:rPr>
            </w:pPr>
          </w:p>
        </w:tc>
        <w:tc>
          <w:tcPr>
            <w:tcW w:w="13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43" w:lineRule="exact"/>
              <w:rPr>
                <w:sz w:val="20"/>
                <w:szCs w:val="20"/>
                <w:color w:val="auto"/>
              </w:rPr>
            </w:pPr>
            <w:r>
              <w:rPr>
                <w:rFonts w:ascii="Times New Roman" w:cs="Times New Roman" w:eastAsia="Times New Roman" w:hAnsi="Times New Roman"/>
                <w:sz w:val="14"/>
                <w:szCs w:val="14"/>
                <w:b w:val="1"/>
                <w:bCs w:val="1"/>
                <w:color w:val="auto"/>
                <w:w w:val="99"/>
              </w:rPr>
              <w:t>Active Markets</w:t>
            </w:r>
          </w:p>
        </w:tc>
        <w:tc>
          <w:tcPr>
            <w:tcW w:w="240" w:type="dxa"/>
            <w:vAlign w:val="bottom"/>
          </w:tcPr>
          <w:p>
            <w:pPr>
              <w:spacing w:after="0"/>
              <w:rPr>
                <w:sz w:val="12"/>
                <w:szCs w:val="12"/>
                <w:color w:val="auto"/>
              </w:rPr>
            </w:pPr>
          </w:p>
        </w:tc>
        <w:tc>
          <w:tcPr>
            <w:tcW w:w="1260" w:type="dxa"/>
            <w:vAlign w:val="bottom"/>
            <w:gridSpan w:val="2"/>
          </w:tcPr>
          <w:p>
            <w:pPr>
              <w:jc w:val="center"/>
              <w:ind w:right="340"/>
              <w:spacing w:after="0" w:line="143"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5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Measured at net asset</w:t>
            </w: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jc w:val="center"/>
              <w:ind w:right="240"/>
              <w:spacing w:after="0" w:line="132" w:lineRule="exact"/>
              <w:rPr>
                <w:sz w:val="20"/>
                <w:szCs w:val="20"/>
                <w:color w:val="auto"/>
              </w:rPr>
            </w:pPr>
            <w:r>
              <w:rPr>
                <w:rFonts w:ascii="Times New Roman" w:cs="Times New Roman" w:eastAsia="Times New Roman" w:hAnsi="Times New Roman"/>
                <w:sz w:val="14"/>
                <w:szCs w:val="14"/>
                <w:b w:val="1"/>
                <w:bCs w:val="1"/>
                <w:color w:val="auto"/>
                <w:w w:val="99"/>
              </w:rPr>
              <w:t>for Identical</w:t>
            </w:r>
          </w:p>
        </w:tc>
        <w:tc>
          <w:tcPr>
            <w:tcW w:w="240" w:type="dxa"/>
            <w:vAlign w:val="bottom"/>
          </w:tcPr>
          <w:p>
            <w:pPr>
              <w:spacing w:after="0"/>
              <w:rPr>
                <w:sz w:val="11"/>
                <w:szCs w:val="11"/>
                <w:color w:val="auto"/>
              </w:rPr>
            </w:pPr>
          </w:p>
        </w:tc>
        <w:tc>
          <w:tcPr>
            <w:tcW w:w="1260" w:type="dxa"/>
            <w:vAlign w:val="bottom"/>
            <w:gridSpan w:val="2"/>
          </w:tcPr>
          <w:p>
            <w:pPr>
              <w:jc w:val="center"/>
              <w:ind w:right="340"/>
              <w:spacing w:after="0" w:line="132" w:lineRule="exact"/>
              <w:rPr>
                <w:sz w:val="20"/>
                <w:szCs w:val="20"/>
                <w:color w:val="auto"/>
              </w:rPr>
            </w:pPr>
            <w:r>
              <w:rPr>
                <w:rFonts w:ascii="Times New Roman" w:cs="Times New Roman" w:eastAsia="Times New Roman" w:hAnsi="Times New Roman"/>
                <w:sz w:val="14"/>
                <w:szCs w:val="14"/>
                <w:b w:val="1"/>
                <w:bCs w:val="1"/>
                <w:color w:val="auto"/>
                <w:w w:val="99"/>
              </w:rPr>
              <w:t>Observable</w:t>
            </w:r>
          </w:p>
        </w:tc>
        <w:tc>
          <w:tcPr>
            <w:tcW w:w="180" w:type="dxa"/>
            <w:vAlign w:val="bottom"/>
          </w:tcPr>
          <w:p>
            <w:pPr>
              <w:spacing w:after="0"/>
              <w:rPr>
                <w:sz w:val="11"/>
                <w:szCs w:val="11"/>
                <w:color w:val="auto"/>
              </w:rPr>
            </w:pPr>
          </w:p>
        </w:tc>
        <w:tc>
          <w:tcPr>
            <w:tcW w:w="1320" w:type="dxa"/>
            <w:vAlign w:val="bottom"/>
            <w:gridSpan w:val="2"/>
          </w:tcPr>
          <w:p>
            <w:pPr>
              <w:jc w:val="center"/>
              <w:ind w:right="300"/>
              <w:spacing w:after="0" w:line="132"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1500" w:type="dxa"/>
            <w:vAlign w:val="bottom"/>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Pr>
          <w:p>
            <w:pPr>
              <w:spacing w:after="0"/>
              <w:rPr>
                <w:sz w:val="12"/>
                <w:szCs w:val="12"/>
                <w:color w:val="auto"/>
              </w:rPr>
            </w:pPr>
          </w:p>
        </w:tc>
        <w:tc>
          <w:tcPr>
            <w:tcW w:w="126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tcPr>
          <w:p>
            <w:pPr>
              <w:spacing w:after="0"/>
              <w:rPr>
                <w:sz w:val="12"/>
                <w:szCs w:val="12"/>
                <w:color w:val="auto"/>
              </w:rPr>
            </w:pPr>
          </w:p>
        </w:tc>
        <w:tc>
          <w:tcPr>
            <w:tcW w:w="132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120" w:type="dxa"/>
            <w:vAlign w:val="bottom"/>
          </w:tcPr>
          <w:p>
            <w:pPr>
              <w:spacing w:after="0"/>
              <w:rPr>
                <w:sz w:val="12"/>
                <w:szCs w:val="12"/>
                <w:color w:val="auto"/>
              </w:rPr>
            </w:pPr>
          </w:p>
        </w:tc>
        <w:tc>
          <w:tcPr>
            <w:tcW w:w="138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value per share</w:t>
            </w:r>
          </w:p>
        </w:tc>
        <w:tc>
          <w:tcPr>
            <w:tcW w:w="300" w:type="dxa"/>
            <w:vAlign w:val="bottom"/>
          </w:tcPr>
          <w:p>
            <w:pPr>
              <w:spacing w:after="0"/>
              <w:rPr>
                <w:sz w:val="12"/>
                <w:szCs w:val="12"/>
                <w:color w:val="auto"/>
              </w:rPr>
            </w:pPr>
          </w:p>
        </w:tc>
        <w:tc>
          <w:tcPr>
            <w:tcW w:w="110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92"/>
        </w:trPr>
        <w:tc>
          <w:tcPr>
            <w:tcW w:w="3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24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8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(“NAV”)</w:t>
            </w:r>
          </w:p>
        </w:tc>
        <w:tc>
          <w:tcPr>
            <w:tcW w:w="3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24"/>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collective trusts</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16,656</w:t>
            </w:r>
          </w:p>
        </w:tc>
        <w:tc>
          <w:tcPr>
            <w:tcW w:w="0" w:type="dxa"/>
            <w:vAlign w:val="bottom"/>
          </w:tcPr>
          <w:p>
            <w:pPr>
              <w:spacing w:after="0"/>
              <w:rPr>
                <w:sz w:val="1"/>
                <w:szCs w:val="1"/>
                <w:color w:val="auto"/>
              </w:rPr>
            </w:pPr>
          </w:p>
        </w:tc>
      </w:tr>
      <w:tr>
        <w:trPr>
          <w:trHeight w:val="224"/>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6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4"/>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stocks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0" w:type="dxa"/>
            <w:vAlign w:val="bottom"/>
          </w:tcPr>
          <w:p>
            <w:pPr>
              <w:spacing w:after="0"/>
              <w:rPr>
                <w:sz w:val="1"/>
                <w:szCs w:val="1"/>
                <w:color w:val="auto"/>
              </w:rPr>
            </w:pPr>
          </w:p>
        </w:tc>
      </w:tr>
      <w:tr>
        <w:trPr>
          <w:trHeight w:val="217"/>
        </w:trPr>
        <w:tc>
          <w:tcPr>
            <w:tcW w:w="38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16,656</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19,593</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3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240" w:type="dxa"/>
            <w:vAlign w:val="bottom"/>
          </w:tcPr>
          <w:p>
            <w:pPr>
              <w:spacing w:after="0"/>
              <w:rPr>
                <w:sz w:val="24"/>
                <w:szCs w:val="24"/>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180" w:type="dxa"/>
            <w:vAlign w:val="bottom"/>
          </w:tcPr>
          <w:p>
            <w:pPr>
              <w:spacing w:after="0"/>
              <w:rPr>
                <w:sz w:val="24"/>
                <w:szCs w:val="24"/>
                <w:color w:val="auto"/>
              </w:rPr>
            </w:pPr>
          </w:p>
        </w:tc>
        <w:tc>
          <w:tcPr>
            <w:tcW w:w="13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jc w:val="center"/>
              <w:ind w:right="260"/>
              <w:spacing w:after="0" w:line="132" w:lineRule="exact"/>
              <w:rPr>
                <w:sz w:val="20"/>
                <w:szCs w:val="20"/>
                <w:color w:val="auto"/>
              </w:rPr>
            </w:pPr>
            <w:r>
              <w:rPr>
                <w:rFonts w:ascii="Times New Roman" w:cs="Times New Roman" w:eastAsia="Times New Roman" w:hAnsi="Times New Roman"/>
                <w:sz w:val="14"/>
                <w:szCs w:val="14"/>
                <w:b w:val="1"/>
                <w:bCs w:val="1"/>
                <w:color w:val="auto"/>
                <w:w w:val="99"/>
              </w:rPr>
              <w:t>Active Markets</w:t>
            </w:r>
          </w:p>
        </w:tc>
        <w:tc>
          <w:tcPr>
            <w:tcW w:w="240" w:type="dxa"/>
            <w:vAlign w:val="bottom"/>
          </w:tcPr>
          <w:p>
            <w:pPr>
              <w:spacing w:after="0"/>
              <w:rPr>
                <w:sz w:val="11"/>
                <w:szCs w:val="11"/>
                <w:color w:val="auto"/>
              </w:rPr>
            </w:pPr>
          </w:p>
        </w:tc>
        <w:tc>
          <w:tcPr>
            <w:tcW w:w="1260" w:type="dxa"/>
            <w:vAlign w:val="bottom"/>
            <w:gridSpan w:val="2"/>
          </w:tcPr>
          <w:p>
            <w:pPr>
              <w:jc w:val="center"/>
              <w:ind w:right="340"/>
              <w:spacing w:after="0" w:line="132"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w w:val="99"/>
              </w:rPr>
              <w:t>for Identical</w:t>
            </w:r>
          </w:p>
        </w:tc>
        <w:tc>
          <w:tcPr>
            <w:tcW w:w="240" w:type="dxa"/>
            <w:vAlign w:val="bottom"/>
          </w:tcPr>
          <w:p>
            <w:pPr>
              <w:spacing w:after="0"/>
              <w:rPr>
                <w:sz w:val="12"/>
                <w:szCs w:val="12"/>
                <w:color w:val="auto"/>
              </w:rPr>
            </w:pPr>
          </w:p>
        </w:tc>
        <w:tc>
          <w:tcPr>
            <w:tcW w:w="126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b w:val="1"/>
                <w:bCs w:val="1"/>
                <w:color w:val="auto"/>
                <w:w w:val="99"/>
              </w:rPr>
              <w:t>Observable</w:t>
            </w:r>
          </w:p>
        </w:tc>
        <w:tc>
          <w:tcPr>
            <w:tcW w:w="180" w:type="dxa"/>
            <w:vAlign w:val="bottom"/>
          </w:tcPr>
          <w:p>
            <w:pPr>
              <w:spacing w:after="0"/>
              <w:rPr>
                <w:sz w:val="12"/>
                <w:szCs w:val="12"/>
                <w:color w:val="auto"/>
              </w:rPr>
            </w:pPr>
          </w:p>
        </w:tc>
        <w:tc>
          <w:tcPr>
            <w:tcW w:w="132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Pr>
          <w:p>
            <w:pPr>
              <w:spacing w:after="0"/>
              <w:rPr>
                <w:sz w:val="12"/>
                <w:szCs w:val="12"/>
                <w:color w:val="auto"/>
              </w:rPr>
            </w:pPr>
          </w:p>
        </w:tc>
        <w:tc>
          <w:tcPr>
            <w:tcW w:w="126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tcPr>
          <w:p>
            <w:pPr>
              <w:spacing w:after="0"/>
              <w:rPr>
                <w:sz w:val="12"/>
                <w:szCs w:val="12"/>
                <w:color w:val="auto"/>
              </w:rPr>
            </w:pPr>
          </w:p>
        </w:tc>
        <w:tc>
          <w:tcPr>
            <w:tcW w:w="132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120" w:type="dxa"/>
            <w:vAlign w:val="bottom"/>
          </w:tcPr>
          <w:p>
            <w:pPr>
              <w:spacing w:after="0"/>
              <w:rPr>
                <w:sz w:val="12"/>
                <w:szCs w:val="12"/>
                <w:color w:val="auto"/>
              </w:rPr>
            </w:pPr>
          </w:p>
        </w:tc>
        <w:tc>
          <w:tcPr>
            <w:tcW w:w="13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Measured at NAV</w:t>
            </w:r>
          </w:p>
        </w:tc>
        <w:tc>
          <w:tcPr>
            <w:tcW w:w="300" w:type="dxa"/>
            <w:vAlign w:val="bottom"/>
          </w:tcPr>
          <w:p>
            <w:pPr>
              <w:spacing w:after="0"/>
              <w:rPr>
                <w:sz w:val="12"/>
                <w:szCs w:val="12"/>
                <w:color w:val="auto"/>
              </w:rPr>
            </w:pPr>
          </w:p>
        </w:tc>
        <w:tc>
          <w:tcPr>
            <w:tcW w:w="110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91"/>
        </w:trPr>
        <w:tc>
          <w:tcPr>
            <w:tcW w:w="3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24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8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24"/>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collective trusts</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16,590</w:t>
            </w:r>
          </w:p>
        </w:tc>
        <w:tc>
          <w:tcPr>
            <w:tcW w:w="0" w:type="dxa"/>
            <w:vAlign w:val="bottom"/>
          </w:tcPr>
          <w:p>
            <w:pPr>
              <w:spacing w:after="0"/>
              <w:rPr>
                <w:sz w:val="1"/>
                <w:szCs w:val="1"/>
                <w:color w:val="auto"/>
              </w:rPr>
            </w:pPr>
          </w:p>
        </w:tc>
      </w:tr>
      <w:tr>
        <w:trPr>
          <w:trHeight w:val="224"/>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6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24"/>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stocks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0" w:type="dxa"/>
            <w:vAlign w:val="bottom"/>
          </w:tcPr>
          <w:p>
            <w:pPr>
              <w:spacing w:after="0"/>
              <w:rPr>
                <w:sz w:val="1"/>
                <w:szCs w:val="1"/>
                <w:color w:val="auto"/>
              </w:rPr>
            </w:pPr>
          </w:p>
        </w:tc>
      </w:tr>
      <w:tr>
        <w:trPr>
          <w:trHeight w:val="217"/>
        </w:trPr>
        <w:tc>
          <w:tcPr>
            <w:tcW w:w="38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16,590</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19,148</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Employee Benefit and Deferred Compensation Plans (continued)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Retirement Plans</w:t>
      </w:r>
    </w:p>
    <w:p>
      <w:pPr>
        <w:spacing w:after="0" w:line="16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Company maintains a 401(k) plan, which is a contributory plan maintained in the form of a “safe harbor” arrangement. Employees are immediately enrolled in the plan and eligible to make pre-tax deferrals, subject to limits imposed under the plan and the deferral limit established annually by the IRS, and receive Company matching contributions not in excess of 4% of compensation. The Company may make a discretionary profit-sharing contribution for each eligible participant as an equal percentage of each participant’s compensation. To be eligible to receive this profit-sharing contribution, an employee must: (i) be employed on the last day of the year and be credited with 1000 hours of service during the year; (ii) die or become disabled during the year; or (iii) have attained the early or normal retirement age (as defined in the plan). Senior executive officers of the Bank are not eligible to receive these discretionary contributions. No profit-sharing contribution was made for the year 2025. The Company’s costs related to the 401(k) plan, excluding employee deferrals, in 2025, 2024 and 2023 were $9,491, $7,290 and $6,757, respectively.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Compensation Plans and Arrangements</w:t>
      </w:r>
    </w:p>
    <w:p>
      <w:pPr>
        <w:spacing w:after="0" w:line="20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The Company maintains two deferred compensation plans: a Deferred Stock Unit Plan and a Deferred Income Plan. Nonemployee directors may defer all or a portion of their retainer; eligible officers may defer base salary and bonus subject to limits determined annually by the Company. Amounts deferred to the Deferred Stock Unit Plan are invested in units representing shares of the Company’s common stock; benefits are paid in the form of common stock, with cash distributed in lieu of fractional shares. Amounts deferred to the Deferred Income Plan are notionally invested in the discretion of each participant from among investment alternatives substantially similar to those available under the Company’s 401(k) plan. Directors and officers who participated in the predecessor to the Deferred Income Plan as of December 31, 2006, may also invest in a preferential interest rate alternative that is derived from the Moody’s Average</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Corporate Bond Rate. Benefits payable from the Deferred Income Plan equal the account balance of each participant. A director or officer’s beneficiaries may receive an additional preretirement death benefit from the Deferred Income Plan when the officer or director has continuously deferred at rates prescribed by the Company since January 1, 2005, and when such officer or director dies while employed by the Company or serving as a director.</w:t>
      </w:r>
    </w:p>
    <w:p>
      <w:pPr>
        <w:spacing w:after="0" w:line="1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Deferred Stock Unit and Deferred Income Plan are unfunded. It is anticipated that such plans will result in no additional cost to the Company because life insurance policies on the lives of participants have been purchased in amounts estimated to be sufficient to pay plan benefits. The Company is both the owner and beneficiary of the policies. The expense recorded in 2025, 2024 and 2023 for the Company’s Deferred Stock Unit and Deferred Income Plan was $2,189, $2,270 and $2,210, respectively.</w:t>
      </w:r>
    </w:p>
    <w:p>
      <w:pPr>
        <w:spacing w:after="0" w:line="131"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6"/>
          <w:szCs w:val="16"/>
          <w:color w:val="auto"/>
        </w:rPr>
        <w:t>In connection with the Company’s acquisition of Brand Group Holdings, Inc. in 2018, the Company assumed the Brand Group Holdings, Inc. Deferred Compensation Plan. Deferral elections in effect as of the time of acquisition were given effect for compensation earned during 2018; no further deferrals have</w:t>
      </w:r>
    </w:p>
    <w:p>
      <w:pPr>
        <w:spacing w:after="0" w:line="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been or will be made to the plan. Account balances maintained under the plan will be distributed as provided under the terms of the plan and individual participant elections. Pending distribution, balances will be notionally invested by each participant in designated investment alternatives.</w:t>
      </w:r>
    </w:p>
    <w:p>
      <w:pPr>
        <w:spacing w:after="0" w:line="10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In 2007, the Company assumed supplemental executive retirement plans (SERPs) in connection with the acquisition of Capital Bancorp, Inc. and its affiliates. The plans are designed to provide four officers specified annual benefits for a 15-year period upon the attainment of a designated retirement age. In 2025, the Company assumed SERPs, supplemental director retirement plans and other deferred compensation agreements in connection with its acquisition of The First. These SERPs, supplemental director retirement plans and other deferred compensation agreements were designed to provide officers of the The First (or former directors and officers of entities that The First had acquired prior to its acquisition by the Company) specified annual benefits, in an amount and on such schedule as specified in the particular plan. Liabilities associated with these plans totaled $13,518 and $3,143 at December 31, 2025 and 2024, respectively. The plans are not qualified under Code Section 401.</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Incentive Compensation Plans</w:t>
      </w:r>
    </w:p>
    <w:p>
      <w:pPr>
        <w:spacing w:after="0" w:line="1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Under the Company’s Performance Based Rewards Plan, annual cash bonuses are paid to eligible officers and employees, subject to the attainment of designated performance criteria that may relate to the Company’s performance, the performance of an affiliate, region, division or profit center, and/or to individual or team performance. The Company annually sets minimum, target, and superior levels of performance. Minimum performance must be attained for the payment of any bonus; superior performance must be attained for maximum payouts. The expense associated with the plan for 2025, 2024 and 2023 was $11,655, $8,659 and $10,303, respectively.</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Employee Benefit and Deferred Compensation Plans (continued)</w:t>
      </w:r>
    </w:p>
    <w:p>
      <w:pPr>
        <w:spacing w:after="0" w:line="26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In 2020, the Company implemented the 2020 Long-Term Incentive Compensation Plan that provides for the grant of stock options and stock appreciation rights and the award of restricted stock and restricted stock units.</w:t>
      </w:r>
    </w:p>
    <w:p>
      <w:pPr>
        <w:spacing w:after="0" w:line="11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Options granted under the plan permit the acquisition of shares of the Company’s common stock at an exercise price equal to the fair market value of the shares on the date of grant. Options may be subject to time-based vesting or the attainment of performance criteria; all options expire ten years after the date of grant. Options that do not vest or expire unexercised are forfeited and canceled. Stock appreciation rights may be granted under the plan on terms similar to options. There were no stock options or stock appreciation rights granted, or associated compensation expense (recognized or unrecognized), during the years ended</w:t>
      </w:r>
    </w:p>
    <w:p>
      <w:pPr>
        <w:spacing w:after="0" w:line="1" w:lineRule="exact"/>
        <w:rPr>
          <w:sz w:val="20"/>
          <w:szCs w:val="20"/>
          <w:color w:val="auto"/>
        </w:rPr>
      </w:pPr>
    </w:p>
    <w:p>
      <w:pPr>
        <w:spacing w:after="0"/>
        <w:tabs>
          <w:tab w:leader="none" w:pos="1080" w:val="left"/>
          <w:tab w:leader="none" w:pos="1660" w:val="left"/>
          <w:tab w:leader="none" w:pos="2420" w:val="left"/>
          <w:tab w:leader="none" w:pos="3120" w:val="left"/>
          <w:tab w:leader="none" w:pos="3640" w:val="left"/>
          <w:tab w:leader="none" w:pos="4400" w:val="left"/>
          <w:tab w:leader="none" w:pos="4980" w:val="left"/>
          <w:tab w:leader="none" w:pos="5860" w:val="left"/>
          <w:tab w:leader="none" w:pos="6560" w:val="left"/>
          <w:tab w:leader="none" w:pos="7240" w:val="left"/>
          <w:tab w:leader="none" w:pos="8440" w:val="left"/>
          <w:tab w:leader="none" w:pos="9160" w:val="left"/>
          <w:tab w:leader="none" w:pos="10240" w:val="left"/>
          <w:tab w:leader="none" w:pos="10820" w:val="left"/>
        </w:tabs>
        <w:rPr>
          <w:sz w:val="20"/>
          <w:szCs w:val="20"/>
          <w:color w:val="auto"/>
        </w:rPr>
      </w:pPr>
      <w:r>
        <w:rPr>
          <w:rFonts w:ascii="Times New Roman" w:cs="Times New Roman" w:eastAsia="Times New Roman" w:hAnsi="Times New Roman"/>
          <w:sz w:val="18"/>
          <w:szCs w:val="18"/>
          <w:color w:val="auto"/>
        </w:rPr>
        <w:t>December</w:t>
      </w:r>
      <w:r>
        <w:rPr>
          <w:sz w:val="20"/>
          <w:szCs w:val="20"/>
          <w:color w:val="auto"/>
        </w:rPr>
        <w:tab/>
      </w: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2025,</w:t>
      </w:r>
      <w:r>
        <w:rPr>
          <w:sz w:val="20"/>
          <w:szCs w:val="20"/>
          <w:color w:val="auto"/>
        </w:rPr>
        <w:tab/>
      </w:r>
      <w:r>
        <w:rPr>
          <w:rFonts w:ascii="Times New Roman" w:cs="Times New Roman" w:eastAsia="Times New Roman" w:hAnsi="Times New Roman"/>
          <w:sz w:val="18"/>
          <w:szCs w:val="18"/>
          <w:color w:val="auto"/>
        </w:rPr>
        <w:t>2024</w:t>
      </w:r>
      <w:r>
        <w:rPr>
          <w:sz w:val="20"/>
          <w:szCs w:val="20"/>
          <w:color w:val="auto"/>
        </w:rPr>
        <w:tab/>
      </w:r>
      <w:r>
        <w:rPr>
          <w:rFonts w:ascii="Times New Roman" w:cs="Times New Roman" w:eastAsia="Times New Roman" w:hAnsi="Times New Roman"/>
          <w:sz w:val="18"/>
          <w:szCs w:val="18"/>
          <w:color w:val="auto"/>
        </w:rPr>
        <w:t>or</w:t>
      </w:r>
      <w:r>
        <w:rPr>
          <w:sz w:val="20"/>
          <w:szCs w:val="20"/>
          <w:color w:val="auto"/>
        </w:rPr>
        <w:tab/>
      </w:r>
      <w:r>
        <w:rPr>
          <w:rFonts w:ascii="Times New Roman" w:cs="Times New Roman" w:eastAsia="Times New Roman" w:hAnsi="Times New Roman"/>
          <w:sz w:val="18"/>
          <w:szCs w:val="18"/>
          <w:color w:val="auto"/>
        </w:rPr>
        <w:t>2023.</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8"/>
          <w:szCs w:val="18"/>
          <w:color w:val="auto"/>
        </w:rPr>
        <w:t>options</w:t>
      </w:r>
      <w:r>
        <w:rPr>
          <w:sz w:val="20"/>
          <w:szCs w:val="20"/>
          <w:color w:val="auto"/>
        </w:rPr>
        <w:tab/>
      </w:r>
      <w:r>
        <w:rPr>
          <w:rFonts w:ascii="Times New Roman" w:cs="Times New Roman" w:eastAsia="Times New Roman" w:hAnsi="Times New Roman"/>
          <w:sz w:val="18"/>
          <w:szCs w:val="18"/>
          <w:color w:val="auto"/>
        </w:rPr>
        <w:t>have</w:t>
      </w:r>
      <w:r>
        <w:rPr>
          <w:sz w:val="20"/>
          <w:szCs w:val="20"/>
          <w:color w:val="auto"/>
        </w:rPr>
        <w:tab/>
      </w:r>
      <w:r>
        <w:rPr>
          <w:rFonts w:ascii="Times New Roman" w:cs="Times New Roman" w:eastAsia="Times New Roman" w:hAnsi="Times New Roman"/>
          <w:sz w:val="18"/>
          <w:szCs w:val="18"/>
          <w:color w:val="auto"/>
        </w:rPr>
        <w:t>been</w:t>
      </w:r>
      <w:r>
        <w:rPr>
          <w:sz w:val="20"/>
          <w:szCs w:val="20"/>
          <w:color w:val="auto"/>
        </w:rPr>
        <w:tab/>
      </w:r>
      <w:r>
        <w:rPr>
          <w:rFonts w:ascii="Times New Roman" w:cs="Times New Roman" w:eastAsia="Times New Roman" w:hAnsi="Times New Roman"/>
          <w:sz w:val="18"/>
          <w:szCs w:val="18"/>
          <w:color w:val="auto"/>
        </w:rPr>
        <w:t>outstanding</w:t>
      </w:r>
      <w:r>
        <w:rPr>
          <w:sz w:val="20"/>
          <w:szCs w:val="20"/>
          <w:color w:val="auto"/>
        </w:rPr>
        <w:tab/>
      </w:r>
      <w:r>
        <w:rPr>
          <w:rFonts w:ascii="Times New Roman" w:cs="Times New Roman" w:eastAsia="Times New Roman" w:hAnsi="Times New Roman"/>
          <w:sz w:val="18"/>
          <w:szCs w:val="18"/>
          <w:color w:val="auto"/>
        </w:rPr>
        <w:t>since</w:t>
      </w:r>
      <w:r>
        <w:rPr>
          <w:sz w:val="20"/>
          <w:szCs w:val="20"/>
          <w:color w:val="auto"/>
        </w:rPr>
        <w:tab/>
      </w:r>
      <w:r>
        <w:rPr>
          <w:rFonts w:ascii="Times New Roman" w:cs="Times New Roman" w:eastAsia="Times New Roman" w:hAnsi="Times New Roman"/>
          <w:sz w:val="18"/>
          <w:szCs w:val="18"/>
          <w:color w:val="auto"/>
        </w:rPr>
        <w:t>December</w:t>
      </w:r>
      <w:r>
        <w:rPr>
          <w:sz w:val="20"/>
          <w:szCs w:val="20"/>
          <w:color w:val="auto"/>
        </w:rPr>
        <w:tab/>
      </w: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6"/>
          <w:szCs w:val="16"/>
          <w:color w:val="auto"/>
        </w:rPr>
        <w:t>2021.</w:t>
      </w:r>
    </w:p>
    <w:p>
      <w:pPr>
        <w:spacing w:after="0" w:line="31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plan permits the award of performance-based restricted stock to officers and employees and time-based restricted stock to non-employee directors, officers and employees. The plan also permits the award of restricted stock units to officers and employees on terms similar to restricted stock awards. Performance-based awards are subject to the attainment of designated performance criteria during a fixed performance cycle. Performance criteria may relate to the Company’s performance measured on an absolute basis or relative to a defined peer group. Performance criteria may also relate to the performance of an affiliate, region, division or profit center of the Company or to individual performance. The Company annually sets minimum, target, and superior levels; minimum performance must be attained for the vesting of any shares; superior performance must be attained for maximum payouts. Time-based restricted stock awards relate to a fixed number of shares that vest at the end of a designated service period.</w:t>
      </w:r>
    </w:p>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2025, the Company made performance-based and time-based restricted stock awards; restricted stock units were not awarded, and none were outstanding from previous years. The fair value of each restricted stock award is the closing price of the Company’s common stock on the business day immediately preceding the date of the award.</w:t>
      </w:r>
    </w:p>
    <w:p>
      <w:pPr>
        <w:spacing w:after="0" w:line="12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In addition, The First maintained a long-term equity compensation plan, and the restricted stock awarded as of the date of the Company’s acquisition of The First was converted into adjusted restricted stock of the Company, subject to the same terms and conditions as prior to the merger.</w:t>
      </w:r>
    </w:p>
    <w:p>
      <w:pPr>
        <w:spacing w:after="0" w:line="1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restricted stock awarded under the plan and The First restricted stock awards converted into Renasant restricted stock awards, the Company recorded compensation expense of $17,723, $13,562 and $13,458 for the years ended December 31, 2025, 2024 and 2023, respectively. The total income tax benefit was $4,375, $3,138 and $3,292, respectively. The total fair value of shares vested was $15,454, $11,715 and $9,716 for the years ended December 31, 2025, 2024 and 2023, respectively. The following table summarizes the changes in restricted stock as of and for the year ended December 31, 2025:</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220" w:type="dxa"/>
            <w:vAlign w:val="bottom"/>
          </w:tcPr>
          <w:p>
            <w:pPr>
              <w:spacing w:after="0"/>
              <w:rPr>
                <w:sz w:val="13"/>
                <w:szCs w:val="13"/>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Time-</w:t>
            </w:r>
          </w:p>
        </w:tc>
        <w:tc>
          <w:tcPr>
            <w:tcW w:w="240" w:type="dxa"/>
            <w:vAlign w:val="bottom"/>
          </w:tcPr>
          <w:p>
            <w:pPr>
              <w:spacing w:after="0"/>
              <w:rPr>
                <w:sz w:val="13"/>
                <w:szCs w:val="13"/>
                <w:color w:val="auto"/>
              </w:rPr>
            </w:pPr>
          </w:p>
        </w:tc>
        <w:tc>
          <w:tcPr>
            <w:tcW w:w="120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7"/>
              </w:rPr>
              <w:t>Weighted</w:t>
            </w:r>
          </w:p>
        </w:tc>
      </w:tr>
      <w:tr>
        <w:trPr>
          <w:trHeight w:val="133"/>
        </w:trPr>
        <w:tc>
          <w:tcPr>
            <w:tcW w:w="5300" w:type="dxa"/>
            <w:vAlign w:val="bottom"/>
          </w:tcPr>
          <w:p>
            <w:pPr>
              <w:spacing w:after="0"/>
              <w:rPr>
                <w:sz w:val="11"/>
                <w:szCs w:val="11"/>
                <w:color w:val="auto"/>
              </w:rPr>
            </w:pPr>
          </w:p>
        </w:tc>
        <w:tc>
          <w:tcPr>
            <w:tcW w:w="150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rPr>
              <w:t>Based</w:t>
            </w:r>
          </w:p>
        </w:tc>
        <w:tc>
          <w:tcPr>
            <w:tcW w:w="220" w:type="dxa"/>
            <w:vAlign w:val="bottom"/>
          </w:tcPr>
          <w:p>
            <w:pPr>
              <w:spacing w:after="0"/>
              <w:rPr>
                <w:sz w:val="11"/>
                <w:szCs w:val="11"/>
                <w:color w:val="auto"/>
              </w:rPr>
            </w:pPr>
          </w:p>
        </w:tc>
        <w:tc>
          <w:tcPr>
            <w:tcW w:w="1280" w:type="dxa"/>
            <w:vAlign w:val="bottom"/>
            <w:gridSpan w:val="2"/>
          </w:tcPr>
          <w:p>
            <w:pPr>
              <w:jc w:val="center"/>
              <w:ind w:right="340"/>
              <w:spacing w:after="0" w:line="133"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80" w:type="dxa"/>
            <w:vAlign w:val="bottom"/>
            <w:gridSpan w:val="2"/>
          </w:tcPr>
          <w:p>
            <w:pPr>
              <w:jc w:val="center"/>
              <w:ind w:right="120"/>
              <w:spacing w:after="0" w:line="133" w:lineRule="exact"/>
              <w:rPr>
                <w:sz w:val="20"/>
                <w:szCs w:val="20"/>
                <w:color w:val="auto"/>
              </w:rPr>
            </w:pPr>
            <w:r>
              <w:rPr>
                <w:rFonts w:ascii="Times New Roman" w:cs="Times New Roman" w:eastAsia="Times New Roman" w:hAnsi="Times New Roman"/>
                <w:sz w:val="14"/>
                <w:szCs w:val="14"/>
                <w:b w:val="1"/>
                <w:bCs w:val="1"/>
                <w:color w:val="auto"/>
              </w:rPr>
              <w:t>Based</w:t>
            </w:r>
          </w:p>
        </w:tc>
        <w:tc>
          <w:tcPr>
            <w:tcW w:w="240" w:type="dxa"/>
            <w:vAlign w:val="bottom"/>
          </w:tcPr>
          <w:p>
            <w:pPr>
              <w:spacing w:after="0"/>
              <w:rPr>
                <w:sz w:val="11"/>
                <w:szCs w:val="11"/>
                <w:color w:val="auto"/>
              </w:rPr>
            </w:pPr>
          </w:p>
        </w:tc>
        <w:tc>
          <w:tcPr>
            <w:tcW w:w="1200" w:type="dxa"/>
            <w:vAlign w:val="bottom"/>
          </w:tcPr>
          <w:p>
            <w:pPr>
              <w:jc w:val="center"/>
              <w:ind w:right="159"/>
              <w:spacing w:after="0" w:line="133" w:lineRule="exact"/>
              <w:rPr>
                <w:sz w:val="20"/>
                <w:szCs w:val="20"/>
                <w:color w:val="auto"/>
              </w:rPr>
            </w:pPr>
            <w:r>
              <w:rPr>
                <w:rFonts w:ascii="Times New Roman" w:cs="Times New Roman" w:eastAsia="Times New Roman" w:hAnsi="Times New Roman"/>
                <w:sz w:val="14"/>
                <w:szCs w:val="14"/>
                <w:b w:val="1"/>
                <w:bCs w:val="1"/>
                <w:color w:val="auto"/>
                <w:w w:val="96"/>
              </w:rPr>
              <w:t>Average</w:t>
            </w:r>
          </w:p>
        </w:tc>
      </w:tr>
      <w:tr>
        <w:trPr>
          <w:trHeight w:val="145"/>
        </w:trPr>
        <w:tc>
          <w:tcPr>
            <w:tcW w:w="5300" w:type="dxa"/>
            <w:vAlign w:val="bottom"/>
          </w:tcPr>
          <w:p>
            <w:pPr>
              <w:spacing w:after="0"/>
              <w:rPr>
                <w:sz w:val="12"/>
                <w:szCs w:val="12"/>
                <w:color w:val="auto"/>
              </w:rPr>
            </w:pPr>
          </w:p>
        </w:tc>
        <w:tc>
          <w:tcPr>
            <w:tcW w:w="150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7"/>
              </w:rPr>
              <w:t>Restricted</w:t>
            </w:r>
          </w:p>
        </w:tc>
        <w:tc>
          <w:tcPr>
            <w:tcW w:w="220" w:type="dxa"/>
            <w:vAlign w:val="bottom"/>
          </w:tcPr>
          <w:p>
            <w:pPr>
              <w:spacing w:after="0"/>
              <w:rPr>
                <w:sz w:val="12"/>
                <w:szCs w:val="12"/>
                <w:color w:val="auto"/>
              </w:rPr>
            </w:pPr>
          </w:p>
        </w:tc>
        <w:tc>
          <w:tcPr>
            <w:tcW w:w="128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148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240" w:type="dxa"/>
            <w:vAlign w:val="bottom"/>
          </w:tcPr>
          <w:p>
            <w:pPr>
              <w:spacing w:after="0"/>
              <w:rPr>
                <w:sz w:val="12"/>
                <w:szCs w:val="12"/>
                <w:color w:val="auto"/>
              </w:rPr>
            </w:pPr>
          </w:p>
        </w:tc>
        <w:tc>
          <w:tcPr>
            <w:tcW w:w="1200" w:type="dxa"/>
            <w:vAlign w:val="bottom"/>
          </w:tcPr>
          <w:p>
            <w:pPr>
              <w:jc w:val="center"/>
              <w:ind w:right="159"/>
              <w:spacing w:after="0" w:line="145" w:lineRule="exact"/>
              <w:rPr>
                <w:sz w:val="20"/>
                <w:szCs w:val="20"/>
                <w:color w:val="auto"/>
              </w:rPr>
            </w:pPr>
            <w:r>
              <w:rPr>
                <w:rFonts w:ascii="Times New Roman" w:cs="Times New Roman" w:eastAsia="Times New Roman" w:hAnsi="Times New Roman"/>
                <w:sz w:val="14"/>
                <w:szCs w:val="14"/>
                <w:b w:val="1"/>
                <w:bCs w:val="1"/>
                <w:color w:val="auto"/>
                <w:w w:val="98"/>
              </w:rPr>
              <w:t>Grant-Date</w:t>
            </w:r>
          </w:p>
        </w:tc>
      </w:tr>
      <w:tr>
        <w:trPr>
          <w:trHeight w:val="185"/>
        </w:trPr>
        <w:tc>
          <w:tcPr>
            <w:tcW w:w="530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22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6"/>
                <w:szCs w:val="16"/>
                <w:color w:val="auto"/>
              </w:rPr>
            </w:pPr>
          </w:p>
        </w:tc>
        <w:tc>
          <w:tcPr>
            <w:tcW w:w="120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24"/>
        </w:trPr>
        <w:tc>
          <w:tcPr>
            <w:tcW w:w="53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beginning of year</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203,115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801,181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w:t>
            </w:r>
          </w:p>
        </w:tc>
      </w:tr>
      <w:tr>
        <w:trPr>
          <w:trHeight w:val="224"/>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344,521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w:t>
            </w:r>
          </w:p>
        </w:tc>
      </w:tr>
      <w:tr>
        <w:trPr>
          <w:trHeight w:val="224"/>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Converted</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w:t>
            </w:r>
          </w:p>
        </w:tc>
      </w:tr>
      <w:tr>
        <w:trPr>
          <w:trHeight w:val="224"/>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35.94</w:t>
            </w:r>
          </w:p>
        </w:tc>
      </w:tr>
      <w:tr>
        <w:trPr>
          <w:trHeight w:val="224"/>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 and cancelled</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w:t>
            </w:r>
          </w:p>
        </w:tc>
      </w:tr>
      <w:tr>
        <w:trPr>
          <w:trHeight w:val="217"/>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at end of year</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195,347</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34.54</w:t>
            </w:r>
          </w:p>
        </w:tc>
        <w:tc>
          <w:tcPr>
            <w:tcW w:w="12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1,208,193</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34.48</w:t>
            </w:r>
          </w:p>
        </w:tc>
      </w:tr>
      <w:tr>
        <w:trPr>
          <w:trHeight w:val="20"/>
        </w:trPr>
        <w:tc>
          <w:tcPr>
            <w:tcW w:w="5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Unrecognized stock-based compensation expense related to restricted stock totaled $19,345 at December 31, 2025. As of such date, the weighted average period over which the unrecognized expense is expected to be recognized was approximately 2.06 years.</w:t>
      </w:r>
    </w:p>
    <w:p>
      <w:pPr>
        <w:spacing w:after="0" w:line="11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At December 31, 2025, an aggregate of 5,382,500 and 2,132,070 shares of Company common stock were authorized and available for issuance, respectively, under the Company’s employee benefit plans of which 2,200,000 and 977,133 shares were authorized and available for issuance, respectively, under the Company’s 401(k) plan, 467,500 and 114,755 shares were authorized and available, respectively, under the Company’s Deferred Stock Unit Plan, and 2,715,000 and 1,040,182 shares were authorized and available, respectively, under the Company’s 2020 Long-Term Incentive Compensation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Derivative Instruments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uses certain derivative instruments to meet the needs of customers as well as to manage the interest rate risk associated with certain transactions.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Non-hedge derivatives</w:t>
      </w:r>
    </w:p>
    <w:p>
      <w:pPr>
        <w:spacing w:after="0" w:line="1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enters into derivative instruments that are not designated as hedging instruments to help its commercial customers manage their exposure to interest rate fluctuations. To mitigate the interest rate risk associated with these customer contracts, the Company enters into an offsetting derivative contract position. The Company manages its credit risk, or potential risk of default by its commercial customers, through credit limit approval and monitoring procedures.</w:t>
      </w:r>
    </w:p>
    <w:p>
      <w:pPr>
        <w:spacing w:after="0" w:line="1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Company enters into interest rate lock commitments with its customers to mitigate the interest rate risk associated with the commitments to fund fixed-rate residential mortgage loans. The Company also enters into forward commitments to sell residential mortgage loans to secondary market investors.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Company’s derivatives not designated as hedging instruments as of the dates presented: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520" w:type="dxa"/>
            <w:vAlign w:val="bottom"/>
          </w:tcPr>
          <w:p>
            <w:pPr>
              <w:spacing w:after="0"/>
              <w:rPr>
                <w:sz w:val="16"/>
                <w:szCs w:val="16"/>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60" w:type="dxa"/>
            <w:vAlign w:val="bottom"/>
          </w:tcPr>
          <w:p>
            <w:pPr>
              <w:spacing w:after="0"/>
              <w:rPr>
                <w:sz w:val="16"/>
                <w:szCs w:val="16"/>
                <w:color w:val="auto"/>
              </w:rPr>
            </w:pPr>
          </w:p>
        </w:tc>
        <w:tc>
          <w:tcPr>
            <w:tcW w:w="290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Pr>
          <w:p>
            <w:pPr>
              <w:spacing w:after="0"/>
              <w:rPr>
                <w:sz w:val="16"/>
                <w:szCs w:val="16"/>
                <w:color w:val="auto"/>
              </w:rPr>
            </w:pPr>
          </w:p>
        </w:tc>
        <w:tc>
          <w:tcPr>
            <w:tcW w:w="2820" w:type="dxa"/>
            <w:vAlign w:val="bottom"/>
            <w:gridSpan w:val="4"/>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4"/>
        </w:trPr>
        <w:tc>
          <w:tcPr>
            <w:tcW w:w="3520" w:type="dxa"/>
            <w:vAlign w:val="bottom"/>
          </w:tcPr>
          <w:p>
            <w:pPr>
              <w:spacing w:after="0"/>
              <w:rPr>
                <w:sz w:val="2"/>
                <w:szCs w:val="2"/>
                <w:color w:val="auto"/>
              </w:rPr>
            </w:pPr>
          </w:p>
        </w:tc>
        <w:tc>
          <w:tcPr>
            <w:tcW w:w="1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6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52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rate contracts</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Other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1,784,028</w:t>
            </w:r>
          </w:p>
        </w:tc>
        <w:tc>
          <w:tcPr>
            <w:tcW w:w="10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877,051</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14,071</w:t>
            </w:r>
          </w:p>
        </w:tc>
        <w:tc>
          <w:tcPr>
            <w:tcW w:w="0" w:type="dxa"/>
            <w:vAlign w:val="bottom"/>
          </w:tcPr>
          <w:p>
            <w:pPr>
              <w:spacing w:after="0"/>
              <w:rPr>
                <w:sz w:val="1"/>
                <w:szCs w:val="1"/>
                <w:color w:val="auto"/>
              </w:rPr>
            </w:pPr>
          </w:p>
        </w:tc>
      </w:tr>
      <w:tr>
        <w:trPr>
          <w:trHeight w:val="224"/>
        </w:trPr>
        <w:tc>
          <w:tcPr>
            <w:tcW w:w="3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rate lock commitments</w:t>
            </w:r>
          </w:p>
        </w:tc>
        <w:tc>
          <w:tcPr>
            <w:tcW w:w="1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Other Assets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0" w:type="dxa"/>
            <w:vAlign w:val="bottom"/>
          </w:tcPr>
          <w:p>
            <w:pPr>
              <w:spacing w:after="0"/>
              <w:rPr>
                <w:sz w:val="1"/>
                <w:szCs w:val="1"/>
                <w:color w:val="auto"/>
              </w:rPr>
            </w:pPr>
          </w:p>
        </w:tc>
      </w:tr>
      <w:tr>
        <w:trPr>
          <w:trHeight w:val="224"/>
        </w:trPr>
        <w:tc>
          <w:tcPr>
            <w:tcW w:w="3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Forward commitments</w:t>
            </w:r>
          </w:p>
        </w:tc>
        <w:tc>
          <w:tcPr>
            <w:tcW w:w="168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Other Assets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174,000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0" w:type="dxa"/>
            <w:vAlign w:val="bottom"/>
          </w:tcPr>
          <w:p>
            <w:pPr>
              <w:spacing w:after="0"/>
              <w:rPr>
                <w:sz w:val="1"/>
                <w:szCs w:val="1"/>
                <w:color w:val="auto"/>
              </w:rPr>
            </w:pPr>
          </w:p>
        </w:tc>
      </w:tr>
      <w:tr>
        <w:trPr>
          <w:trHeight w:val="242"/>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Totals</w:t>
            </w: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1,909,909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1,115,416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16,174</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520" w:type="dxa"/>
            <w:vAlign w:val="bottom"/>
            <w:vMerge w:val="continue"/>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3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rate contracts</w:t>
            </w:r>
          </w:p>
        </w:tc>
        <w:tc>
          <w:tcPr>
            <w:tcW w:w="1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Other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1,784,028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880,371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14,094</w:t>
            </w:r>
          </w:p>
        </w:tc>
        <w:tc>
          <w:tcPr>
            <w:tcW w:w="0" w:type="dxa"/>
            <w:vAlign w:val="bottom"/>
          </w:tcPr>
          <w:p>
            <w:pPr>
              <w:spacing w:after="0"/>
              <w:rPr>
                <w:sz w:val="1"/>
                <w:szCs w:val="1"/>
                <w:color w:val="auto"/>
              </w:rPr>
            </w:pPr>
          </w:p>
        </w:tc>
      </w:tr>
      <w:tr>
        <w:trPr>
          <w:trHeight w:val="224"/>
        </w:trPr>
        <w:tc>
          <w:tcPr>
            <w:tcW w:w="3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lock commitments</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Other Liabilities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24"/>
        </w:trPr>
        <w:tc>
          <w:tcPr>
            <w:tcW w:w="3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Forward commitments</w:t>
            </w:r>
          </w:p>
        </w:tc>
        <w:tc>
          <w:tcPr>
            <w:tcW w:w="1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Other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196,000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7"/>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1,985,932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29,202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934,200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14,302</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Gains (losses) included in the Consolidated Statements of Income related to the Company’s derivative financial instruments that are not designated as hedging instruments were as follows, as of the dates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7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contracts: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Included in interest income on loans</w:t>
            </w:r>
          </w:p>
        </w:tc>
        <w:tc>
          <w:tcPr>
            <w:tcW w:w="880" w:type="dxa"/>
            <w:vAlign w:val="bottom"/>
          </w:tcPr>
          <w:p>
            <w:pPr>
              <w:jc w:val="right"/>
              <w:ind w:right="67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28,328</w:t>
            </w:r>
          </w:p>
        </w:tc>
        <w:tc>
          <w:tcPr>
            <w:tcW w:w="44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14,128</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8,156</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lock commitments: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Included in mortgage banking income</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Forward commitments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4"/>
        </w:trPr>
        <w:tc>
          <w:tcPr>
            <w:tcW w:w="6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Included in mortgage banking income</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(1,695)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(1,848)</w:t>
            </w:r>
          </w:p>
        </w:tc>
      </w:tr>
      <w:tr>
        <w:trPr>
          <w:trHeight w:val="242"/>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auto"/>
            </w:tcBorders>
            <w:shd w:val="clear" w:color="auto" w:fill="CCEEFF"/>
          </w:tcPr>
          <w:p>
            <w:pPr>
              <w:jc w:val="right"/>
              <w:ind w:right="67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27,300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6,627</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 designated as cash flow hedges</w:t>
      </w:r>
    </w:p>
    <w:p>
      <w:pPr>
        <w:spacing w:after="0" w:line="1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Cash flow hedge relationships mitigate exposure to the variability of future cash flows or other forecasted transactions. The Company uses both interest rate swap contracts and interest rate collars in an effort to manage future interest rate exposure on borrowings and loans, respectively. The swap hedging strategy manages the variable interest rate on the forecasted borrowings by using pay-fixed, receive-variable interest rate swaps. The collar hedging strategy limits the benefit to interest income when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Derivative Instruments (continued)</w:t>
      </w:r>
    </w:p>
    <w:p>
      <w:pPr>
        <w:spacing w:after="0" w:line="26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rates exceed the cap but protects interest income from interest rate fluctuations below the floor strike rate. The Company expects the hedges to remain effective during the remaining terms of the swaps and collars, which run through March 2032.</w:t>
      </w:r>
    </w:p>
    <w:p>
      <w:pPr>
        <w:spacing w:after="0" w:line="169" w:lineRule="exact"/>
        <w:rPr>
          <w:sz w:val="20"/>
          <w:szCs w:val="20"/>
          <w:color w:val="auto"/>
        </w:rPr>
      </w:pPr>
    </w:p>
    <w:p>
      <w:pPr>
        <w:spacing w:after="0"/>
        <w:tabs>
          <w:tab w:leader="none" w:pos="420" w:val="left"/>
          <w:tab w:leader="none" w:pos="1260" w:val="left"/>
          <w:tab w:leader="none" w:pos="1760" w:val="left"/>
          <w:tab w:leader="none" w:pos="2540" w:val="left"/>
          <w:tab w:leader="none" w:pos="2780" w:val="left"/>
          <w:tab w:leader="none" w:pos="3580" w:val="left"/>
          <w:tab w:leader="none" w:pos="3900" w:val="left"/>
          <w:tab w:leader="none" w:pos="4260" w:val="left"/>
          <w:tab w:leader="none" w:pos="5220" w:val="left"/>
          <w:tab w:leader="none" w:pos="6160" w:val="left"/>
          <w:tab w:leader="none" w:pos="7080" w:val="left"/>
          <w:tab w:leader="none" w:pos="7380" w:val="left"/>
          <w:tab w:leader="none" w:pos="7860" w:val="left"/>
          <w:tab w:leader="none" w:pos="8340" w:val="left"/>
          <w:tab w:leader="none" w:pos="8980" w:val="left"/>
          <w:tab w:leader="none" w:pos="9300" w:val="left"/>
          <w:tab w:leader="none" w:pos="9600" w:val="left"/>
          <w:tab w:leader="none" w:pos="9980" w:val="left"/>
          <w:tab w:leader="none" w:pos="10500" w:val="left"/>
        </w:tabs>
        <w:rPr>
          <w:sz w:val="20"/>
          <w:szCs w:val="20"/>
          <w:color w:val="auto"/>
        </w:rPr>
      </w:pPr>
      <w:r>
        <w:rPr>
          <w:rFonts w:ascii="Times New Roman" w:cs="Times New Roman" w:eastAsia="Times New Roman" w:hAnsi="Times New Roman"/>
          <w:sz w:val="18"/>
          <w:szCs w:val="18"/>
          <w:color w:val="auto"/>
        </w:rPr>
        <w:t>The</w:t>
        <w:tab/>
        <w:t>following</w:t>
        <w:tab/>
        <w:t>table</w:t>
        <w:tab/>
        <w:t>provides</w:t>
        <w:tab/>
        <w:t>a</w:t>
        <w:tab/>
        <w:t>summary</w:t>
        <w:tab/>
        <w:t>of</w:t>
        <w:tab/>
        <w:t>the</w:t>
        <w:tab/>
        <w:t>Company’s</w:t>
        <w:tab/>
        <w:t>derivatives</w:t>
        <w:tab/>
        <w:t>designated</w:t>
        <w:tab/>
        <w:t>as</w:t>
        <w:tab/>
        <w:t>cash</w:t>
        <w:tab/>
        <w:t>flow</w:t>
        <w:tab/>
        <w:t>hedges</w:t>
        <w:tab/>
        <w:t>as</w:t>
        <w:tab/>
        <w:t>of</w:t>
        <w:tab/>
        <w:t>the</w:t>
        <w:tab/>
        <w:t>dates</w:t>
      </w:r>
      <w:r>
        <w:rPr>
          <w:sz w:val="20"/>
          <w:szCs w:val="20"/>
          <w:color w:val="auto"/>
        </w:rPr>
        <w:tab/>
      </w:r>
      <w:r>
        <w:rPr>
          <w:rFonts w:ascii="Times New Roman" w:cs="Times New Roman" w:eastAsia="Times New Roman" w:hAnsi="Times New Roman"/>
          <w:sz w:val="16"/>
          <w:szCs w:val="16"/>
          <w:color w:val="auto"/>
        </w:rPr>
        <w:t>presented: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540" w:type="dxa"/>
            <w:vAlign w:val="bottom"/>
          </w:tcPr>
          <w:p>
            <w:pPr>
              <w:spacing w:after="0"/>
              <w:rPr>
                <w:sz w:val="16"/>
                <w:szCs w:val="16"/>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40" w:type="dxa"/>
            <w:vAlign w:val="bottom"/>
          </w:tcPr>
          <w:p>
            <w:pPr>
              <w:spacing w:after="0"/>
              <w:rPr>
                <w:sz w:val="16"/>
                <w:szCs w:val="16"/>
                <w:color w:val="auto"/>
              </w:rPr>
            </w:pPr>
          </w:p>
        </w:tc>
        <w:tc>
          <w:tcPr>
            <w:tcW w:w="290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Pr>
          <w:p>
            <w:pPr>
              <w:spacing w:after="0"/>
              <w:rPr>
                <w:sz w:val="16"/>
                <w:szCs w:val="16"/>
                <w:color w:val="auto"/>
              </w:rPr>
            </w:pPr>
          </w:p>
        </w:tc>
        <w:tc>
          <w:tcPr>
            <w:tcW w:w="2800" w:type="dxa"/>
            <w:vAlign w:val="bottom"/>
            <w:gridSpan w:val="4"/>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4"/>
        </w:trPr>
        <w:tc>
          <w:tcPr>
            <w:tcW w:w="3540" w:type="dxa"/>
            <w:vAlign w:val="bottom"/>
          </w:tcPr>
          <w:p>
            <w:pPr>
              <w:spacing w:after="0"/>
              <w:rPr>
                <w:sz w:val="2"/>
                <w:szCs w:val="2"/>
                <w:color w:val="auto"/>
              </w:rPr>
            </w:pPr>
          </w:p>
        </w:tc>
        <w:tc>
          <w:tcPr>
            <w:tcW w:w="16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Location</w:t>
            </w:r>
          </w:p>
        </w:tc>
        <w:tc>
          <w:tcPr>
            <w:tcW w:w="1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54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rate swaps</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Other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22,780</w:t>
            </w:r>
          </w:p>
        </w:tc>
        <w:tc>
          <w:tcPr>
            <w:tcW w:w="0" w:type="dxa"/>
            <w:vAlign w:val="bottom"/>
          </w:tcPr>
          <w:p>
            <w:pPr>
              <w:spacing w:after="0"/>
              <w:rPr>
                <w:sz w:val="1"/>
                <w:szCs w:val="1"/>
                <w:color w:val="auto"/>
              </w:rPr>
            </w:pPr>
          </w:p>
        </w:tc>
      </w:tr>
      <w:tr>
        <w:trPr>
          <w:trHeight w:val="224"/>
        </w:trPr>
        <w:tc>
          <w:tcPr>
            <w:tcW w:w="3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rate collars</w:t>
            </w:r>
          </w:p>
        </w:tc>
        <w:tc>
          <w:tcPr>
            <w:tcW w:w="1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5"/>
              </w:rPr>
              <w:t>Other Assets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580,000</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22,780</w:t>
            </w:r>
          </w:p>
        </w:tc>
        <w:tc>
          <w:tcPr>
            <w:tcW w:w="0" w:type="dxa"/>
            <w:vAlign w:val="bottom"/>
          </w:tcPr>
          <w:p>
            <w:pPr>
              <w:spacing w:after="0"/>
              <w:rPr>
                <w:sz w:val="1"/>
                <w:szCs w:val="1"/>
                <w:color w:val="auto"/>
              </w:rPr>
            </w:pP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54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b w:val="1"/>
                <w:bCs w:val="1"/>
                <w:color w:val="auto"/>
              </w:rPr>
              <w:t>Derivative liabilities:</w:t>
            </w: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rate swaps</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Other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3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rate collars</w:t>
            </w:r>
          </w:p>
        </w:tc>
        <w:tc>
          <w:tcPr>
            <w:tcW w:w="1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Other Liabilities</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17"/>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jc w:val="both"/>
        <w:spacing w:after="0" w:line="332" w:lineRule="auto"/>
        <w:rPr>
          <w:sz w:val="20"/>
          <w:szCs w:val="20"/>
          <w:color w:val="auto"/>
        </w:rPr>
      </w:pPr>
      <w:r>
        <w:rPr>
          <w:rFonts w:ascii="Times New Roman" w:cs="Times New Roman" w:eastAsia="Times New Roman" w:hAnsi="Times New Roman"/>
          <w:sz w:val="16"/>
          <w:szCs w:val="16"/>
          <w:color w:val="auto"/>
        </w:rPr>
        <w:t>The impact on other comprehensive income for the years ended December 31, 2025, 2024, and 2023, is described in Note 17, “Other Comprehensive Income (Loss).” The impact on earnings is reflected in interest income on loans and interest expense on borrowings in the Consolidated Statements of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 designated as fair value hedges</w:t>
      </w:r>
    </w:p>
    <w:p>
      <w:pPr>
        <w:spacing w:after="0" w:line="216"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The Company enters into interest rate swap agreements to manage the fair value exposure on certain of the Company’s fixed-rate subordinated and fixed-rate available-for-sale securities. The agreements convert a fixed rate of interest to a variable rate of interest based on SOFR by using pay-variable, receive-fixed rate interest rate swaps. The Company expects the hedges to remain effective during the remaining terms of the swaps which run through September 2031.</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Company’s derivatives designated as fair value hedges as of the dates presented: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540" w:type="dxa"/>
            <w:vAlign w:val="bottom"/>
          </w:tcPr>
          <w:p>
            <w:pPr>
              <w:spacing w:after="0"/>
              <w:rPr>
                <w:sz w:val="16"/>
                <w:szCs w:val="16"/>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40" w:type="dxa"/>
            <w:vAlign w:val="bottom"/>
          </w:tcPr>
          <w:p>
            <w:pPr>
              <w:spacing w:after="0"/>
              <w:rPr>
                <w:sz w:val="16"/>
                <w:szCs w:val="16"/>
                <w:color w:val="auto"/>
              </w:rPr>
            </w:pPr>
          </w:p>
        </w:tc>
        <w:tc>
          <w:tcPr>
            <w:tcW w:w="290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Pr>
          <w:p>
            <w:pPr>
              <w:spacing w:after="0"/>
              <w:rPr>
                <w:sz w:val="16"/>
                <w:szCs w:val="16"/>
                <w:color w:val="auto"/>
              </w:rPr>
            </w:pPr>
          </w:p>
        </w:tc>
        <w:tc>
          <w:tcPr>
            <w:tcW w:w="2800" w:type="dxa"/>
            <w:vAlign w:val="bottom"/>
            <w:gridSpan w:val="4"/>
          </w:tcPr>
          <w:p>
            <w:pPr>
              <w:jc w:val="right"/>
              <w:ind w:right="837"/>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4"/>
        </w:trPr>
        <w:tc>
          <w:tcPr>
            <w:tcW w:w="3540" w:type="dxa"/>
            <w:vAlign w:val="bottom"/>
          </w:tcPr>
          <w:p>
            <w:pPr>
              <w:spacing w:after="0"/>
              <w:rPr>
                <w:sz w:val="2"/>
                <w:szCs w:val="2"/>
                <w:color w:val="auto"/>
              </w:rPr>
            </w:pPr>
          </w:p>
        </w:tc>
        <w:tc>
          <w:tcPr>
            <w:tcW w:w="16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Location</w:t>
            </w:r>
          </w:p>
        </w:tc>
        <w:tc>
          <w:tcPr>
            <w:tcW w:w="1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54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swaps - subordinated notes</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Other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17,368</w:t>
            </w:r>
          </w:p>
        </w:tc>
        <w:tc>
          <w:tcPr>
            <w:tcW w:w="0" w:type="dxa"/>
            <w:vAlign w:val="bottom"/>
          </w:tcPr>
          <w:p>
            <w:pPr>
              <w:spacing w:after="0"/>
              <w:rPr>
                <w:sz w:val="1"/>
                <w:szCs w:val="1"/>
                <w:color w:val="auto"/>
              </w:rPr>
            </w:pPr>
          </w:p>
        </w:tc>
      </w:tr>
      <w:tr>
        <w:trPr>
          <w:trHeight w:val="224"/>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 - securities</w:t>
            </w:r>
          </w:p>
        </w:tc>
        <w:tc>
          <w:tcPr>
            <w:tcW w:w="1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Other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103,430</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12,282</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17,368</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the effects of the Company’s fair value hedge relationships on the Consolidated Statements of Income for the periods presented: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80" w:type="dxa"/>
            <w:vAlign w:val="bottom"/>
            <w:gridSpan w:val="6"/>
          </w:tcPr>
          <w:p>
            <w:pPr>
              <w:jc w:val="center"/>
              <w:ind w:left="438"/>
              <w:spacing w:after="0"/>
              <w:rPr>
                <w:sz w:val="20"/>
                <w:szCs w:val="20"/>
                <w:color w:val="auto"/>
              </w:rPr>
            </w:pPr>
            <w:r>
              <w:rPr>
                <w:rFonts w:ascii="Times New Roman" w:cs="Times New Roman" w:eastAsia="Times New Roman" w:hAnsi="Times New Roman"/>
                <w:sz w:val="14"/>
                <w:szCs w:val="14"/>
                <w:b w:val="1"/>
                <w:bCs w:val="1"/>
                <w:color w:val="auto"/>
                <w:w w:val="99"/>
              </w:rPr>
              <w:t>Amount of Gain (Loss) Recognized in Income</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940" w:type="dxa"/>
            <w:vAlign w:val="bottom"/>
          </w:tcPr>
          <w:p>
            <w:pPr>
              <w:spacing w:after="0"/>
              <w:rPr>
                <w:sz w:val="2"/>
                <w:szCs w:val="2"/>
                <w:color w:val="auto"/>
              </w:rPr>
            </w:pPr>
          </w:p>
        </w:tc>
        <w:tc>
          <w:tcPr>
            <w:tcW w:w="1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Income Statement</w:t>
            </w: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4"/>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940" w:type="dxa"/>
            <w:vAlign w:val="bottom"/>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5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940" w:type="dxa"/>
            <w:vAlign w:val="bottom"/>
          </w:tcPr>
          <w:p>
            <w:pPr>
              <w:spacing w:after="0"/>
              <w:rPr>
                <w:sz w:val="16"/>
                <w:szCs w:val="16"/>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Location</w:t>
            </w:r>
          </w:p>
        </w:tc>
        <w:tc>
          <w:tcPr>
            <w:tcW w:w="360" w:type="dxa"/>
            <w:vAlign w:val="bottom"/>
          </w:tcPr>
          <w:p>
            <w:pPr>
              <w:spacing w:after="0"/>
              <w:rPr>
                <w:sz w:val="16"/>
                <w:szCs w:val="16"/>
                <w:color w:val="auto"/>
              </w:rPr>
            </w:pPr>
          </w:p>
        </w:tc>
        <w:tc>
          <w:tcPr>
            <w:tcW w:w="108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10"/>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swaps - subordinated notes</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Interest Expense</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5,089</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19"/>
                <w:szCs w:val="19"/>
                <w:color w:val="auto"/>
              </w:rPr>
            </w:pPr>
          </w:p>
        </w:tc>
        <w:tc>
          <w:tcPr>
            <w:tcW w:w="56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0" w:type="dxa"/>
            <w:vAlign w:val="bottom"/>
          </w:tcPr>
          <w:p>
            <w:pPr>
              <w:spacing w:after="0"/>
              <w:rPr>
                <w:sz w:val="1"/>
                <w:szCs w:val="1"/>
                <w:color w:val="auto"/>
              </w:rPr>
            </w:pPr>
          </w:p>
        </w:tc>
      </w:tr>
      <w:tr>
        <w:trPr>
          <w:trHeight w:val="224"/>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 - securities</w:t>
            </w: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5"/>
              </w:rPr>
              <w:t>Interest Income</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liabilities - hedged items:</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 - subordinated notes</w:t>
            </w: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Interest Expense</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(5,089)</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0" w:type="dxa"/>
            <w:vAlign w:val="bottom"/>
          </w:tcPr>
          <w:p>
            <w:pPr>
              <w:spacing w:after="0"/>
              <w:rPr>
                <w:sz w:val="1"/>
                <w:szCs w:val="1"/>
                <w:color w:val="auto"/>
              </w:rPr>
            </w:pPr>
          </w:p>
        </w:tc>
      </w:tr>
      <w:tr>
        <w:trPr>
          <w:trHeight w:val="228"/>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swaps - securities</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Interest Income</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2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following table presents the amounts that were recorded in the Consolidated Balance Sheets related to cumulative basis adjustments for fair value hedges as of the dates presented:</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Derivative Instruments (continued)</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180" w:type="dxa"/>
            <w:vAlign w:val="bottom"/>
            <w:gridSpan w:val="4"/>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Cumulative Amount of Fair Value Hedging</w:t>
            </w:r>
          </w:p>
        </w:tc>
        <w:tc>
          <w:tcPr>
            <w:tcW w:w="0" w:type="dxa"/>
            <w:vAlign w:val="bottom"/>
          </w:tcPr>
          <w:p>
            <w:pPr>
              <w:spacing w:after="0"/>
              <w:rPr>
                <w:sz w:val="1"/>
                <w:szCs w:val="1"/>
                <w:color w:val="auto"/>
              </w:rPr>
            </w:pPr>
          </w:p>
        </w:tc>
      </w:tr>
      <w:tr>
        <w:trPr>
          <w:trHeight w:val="143"/>
        </w:trPr>
        <w:tc>
          <w:tcPr>
            <w:tcW w:w="4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300" w:type="dxa"/>
            <w:vAlign w:val="bottom"/>
            <w:gridSpan w:val="5"/>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Carrying Amount of the Hedged Item</w:t>
            </w:r>
          </w:p>
        </w:tc>
        <w:tc>
          <w:tcPr>
            <w:tcW w:w="3360" w:type="dxa"/>
            <w:vAlign w:val="bottom"/>
            <w:gridSpan w:val="5"/>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Adjustments Included in the Carrying Amount of the</w:t>
            </w:r>
          </w:p>
        </w:tc>
        <w:tc>
          <w:tcPr>
            <w:tcW w:w="0" w:type="dxa"/>
            <w:vAlign w:val="bottom"/>
          </w:tcPr>
          <w:p>
            <w:pPr>
              <w:spacing w:after="0"/>
              <w:rPr>
                <w:sz w:val="1"/>
                <w:szCs w:val="1"/>
                <w:color w:val="auto"/>
              </w:rPr>
            </w:pPr>
          </w:p>
        </w:tc>
      </w:tr>
      <w:tr>
        <w:trPr>
          <w:trHeight w:val="191"/>
        </w:trPr>
        <w:tc>
          <w:tcPr>
            <w:tcW w:w="4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00" w:type="dxa"/>
            <w:vAlign w:val="bottom"/>
            <w:gridSpan w:val="5"/>
            <w:vMerge w:val="continue"/>
          </w:tcPr>
          <w:p>
            <w:pPr>
              <w:spacing w:after="0"/>
              <w:rPr>
                <w:sz w:val="16"/>
                <w:szCs w:val="16"/>
                <w:color w:val="auto"/>
              </w:rPr>
            </w:pPr>
          </w:p>
        </w:tc>
        <w:tc>
          <w:tcPr>
            <w:tcW w:w="180" w:type="dxa"/>
            <w:vAlign w:val="bottom"/>
          </w:tcPr>
          <w:p>
            <w:pPr>
              <w:spacing w:after="0"/>
              <w:rPr>
                <w:sz w:val="16"/>
                <w:szCs w:val="16"/>
                <w:color w:val="auto"/>
              </w:rPr>
            </w:pPr>
          </w:p>
        </w:tc>
        <w:tc>
          <w:tcPr>
            <w:tcW w:w="3180" w:type="dxa"/>
            <w:vAlign w:val="bottom"/>
            <w:gridSpan w:val="4"/>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8"/>
              </w:rPr>
              <w:t>Hedged Item</w:t>
            </w:r>
          </w:p>
        </w:tc>
        <w:tc>
          <w:tcPr>
            <w:tcW w:w="0" w:type="dxa"/>
            <w:vAlign w:val="bottom"/>
          </w:tcPr>
          <w:p>
            <w:pPr>
              <w:spacing w:after="0"/>
              <w:rPr>
                <w:sz w:val="1"/>
                <w:szCs w:val="1"/>
                <w:color w:val="auto"/>
              </w:rPr>
            </w:pPr>
          </w:p>
        </w:tc>
      </w:tr>
      <w:tr>
        <w:trPr>
          <w:trHeight w:val="191"/>
        </w:trPr>
        <w:tc>
          <w:tcPr>
            <w:tcW w:w="4400" w:type="dxa"/>
            <w:vAlign w:val="bottom"/>
            <w:gridSpan w:val="2"/>
          </w:tcPr>
          <w:p>
            <w:pPr>
              <w:ind w:left="144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23"/>
        </w:trPr>
        <w:tc>
          <w:tcPr>
            <w:tcW w:w="4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86,911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81,648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17,369</w:t>
            </w:r>
          </w:p>
        </w:tc>
        <w:tc>
          <w:tcPr>
            <w:tcW w:w="0" w:type="dxa"/>
            <w:vAlign w:val="bottom"/>
          </w:tcPr>
          <w:p>
            <w:pPr>
              <w:spacing w:after="0"/>
              <w:rPr>
                <w:sz w:val="1"/>
                <w:szCs w:val="1"/>
                <w:color w:val="auto"/>
              </w:rPr>
            </w:pPr>
          </w:p>
        </w:tc>
      </w:tr>
      <w:tr>
        <w:trPr>
          <w:trHeight w:val="228"/>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180" w:type="dxa"/>
            <w:vAlign w:val="bottom"/>
          </w:tcPr>
          <w:p>
            <w:pPr>
              <w:spacing w:after="0"/>
              <w:rPr>
                <w:sz w:val="19"/>
                <w:szCs w:val="19"/>
                <w:color w:val="auto"/>
              </w:rPr>
            </w:pPr>
          </w:p>
        </w:tc>
        <w:tc>
          <w:tcPr>
            <w:tcW w:w="14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17,780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Derivatives</w:t>
      </w:r>
    </w:p>
    <w:p>
      <w:pPr>
        <w:spacing w:after="0" w:line="16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The Company has both bought and sold credit protection in the form of risk participation agreements. These risk participations, which meet the definition of credit derivatives, were entered into in the ordinary course of business to help the Company’s commercial customers manage their exposure to interest rate fluctuations. Risk participations in which credit protection has been purchased entitle the Company to receive a payment from the counterparty if the customer fails to make payment on any amounts due to the Company upon early termination of the swap transaction. The Company’s bought risk participation agreements have a notional amount of $259,029 and maturities between 2028 and 2032. For contracts where the Company sold credit protection, it would be required to make payment to the counterparty if the customer fails to make payment on any amounts due to the counterparty upon early termination of the swap transaction. The Company’s sold risk participation agreements have a notional amount of $60,384 and have maturities between 2026 and 2032.</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maximum potential amount of future payments under these risk participation agreements as of December 31, 2025 was approximately $2,601. This scenario occurs if variable interest rates were at zero percent and all counterparties defaulted with zero recovery. The fair value of risk participation agreements at December 31, 2025 and 2024 was immaterial.</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Offsetting</w:t>
      </w:r>
    </w:p>
    <w:p>
      <w:pPr>
        <w:spacing w:after="0" w:line="16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Certain financial instruments, including derivatives, may be eligible for offset in the consolidated balance sheet when the “right of setoff” exists or when the instruments are subject to an enforceable master netting agreement, which includes the right of the non-defaulting party or non-affected party to offset recognized amounts, including collateral posted with the counterparty, to determine a net receivable or net payable upon early termination of the agreement. Certain of the Company’s derivative instruments are subject to master netting agreements; however, the Company has not elected to offset such financial instruments in the Consolidated Balance Sheets. Initial margin and variation margin is accounted for as collateral. When the Company posts cash for margin, it is recognized as a receivable. When margin is posted or received in the form of securities, there is no accounting recognition for the pledge of securities, unless there is an event of default by one of the parties to the agreement. For centrally cleared derivatives, variation margin is accounted for as settlement of the derivative fair value. The following table presents the Company’s gross derivative positions as recognized in the Consolidated Balance Sheets as well as the net derivative positions, including collateral pledged to the extent the application of such collateral did not reduce the net derivative liability position below zero, had the Company elected to offset those instruments subject to an enforceable master netting agreement as of the dates presented:</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Offsetting Derivative Assets</w:t>
            </w:r>
          </w:p>
        </w:tc>
        <w:tc>
          <w:tcPr>
            <w:tcW w:w="200" w:type="dxa"/>
            <w:vAlign w:val="bottom"/>
          </w:tcPr>
          <w:p>
            <w:pPr>
              <w:spacing w:after="0"/>
              <w:rPr>
                <w:sz w:val="16"/>
                <w:szCs w:val="16"/>
                <w:color w:val="auto"/>
              </w:rPr>
            </w:pPr>
          </w:p>
        </w:tc>
        <w:tc>
          <w:tcPr>
            <w:tcW w:w="2700" w:type="dxa"/>
            <w:vAlign w:val="bottom"/>
            <w:gridSpan w:val="4"/>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Offsetting Derivative Liabilities</w:t>
            </w:r>
          </w:p>
        </w:tc>
      </w:tr>
      <w:tr>
        <w:trPr>
          <w:trHeight w:val="24"/>
        </w:trPr>
        <w:tc>
          <w:tcPr>
            <w:tcW w:w="5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25"/>
        </w:trPr>
        <w:tc>
          <w:tcPr>
            <w:tcW w:w="53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ind w:left="100"/>
              <w:spacing w:after="0" w:line="12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right"/>
              <w:ind w:right="197"/>
              <w:spacing w:after="0" w:line="12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ind w:left="100"/>
              <w:spacing w:after="0" w:line="12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right"/>
              <w:ind w:right="197"/>
              <w:spacing w:after="0" w:line="125"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53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amounts recognized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28,550</w:t>
            </w:r>
          </w:p>
        </w:tc>
      </w:tr>
      <w:tr>
        <w:trPr>
          <w:trHeight w:val="224"/>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amounts offset in the consolidated balance sheets</w:t>
            </w: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amounts presented in the consolidated balance sheets</w:t>
            </w:r>
          </w:p>
        </w:tc>
        <w:tc>
          <w:tcPr>
            <w:tcW w:w="2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28,550</w:t>
            </w:r>
          </w:p>
        </w:tc>
      </w:tr>
      <w:tr>
        <w:trPr>
          <w:trHeight w:val="224"/>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amounts not offset in the consolidated balance sheets</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4"/>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instruments - derivative assets available for offset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27,939</w:t>
            </w:r>
          </w:p>
        </w:tc>
      </w:tr>
      <w:tr>
        <w:trPr>
          <w:trHeight w:val="224"/>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collateral (cash) pledged</w:t>
            </w: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r>
      <w:tr>
        <w:trPr>
          <w:trHeight w:val="242"/>
        </w:trPr>
        <w:tc>
          <w:tcPr>
            <w:tcW w:w="5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amounts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Income Taxes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components of the provision for income taxes from continuing operations are as follows for the periods presented: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6"/>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80" w:type="dxa"/>
            <w:vAlign w:val="bottom"/>
            <w:tcBorders>
              <w:bottom w:val="single" w:sz="8" w:color="auto"/>
            </w:tcBorders>
          </w:tcPr>
          <w:p>
            <w:pPr>
              <w:spacing w:after="0"/>
              <w:rPr>
                <w:sz w:val="20"/>
                <w:szCs w:val="20"/>
                <w:color w:val="auto"/>
              </w:rPr>
            </w:pPr>
          </w:p>
        </w:tc>
      </w:tr>
      <w:tr>
        <w:trPr>
          <w:trHeight w:val="217"/>
        </w:trPr>
        <w:tc>
          <w:tcPr>
            <w:tcW w:w="2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84"/>
        </w:trPr>
        <w:tc>
          <w:tcPr>
            <w:tcW w:w="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line="164" w:lineRule="exact"/>
              <w:rPr>
                <w:sz w:val="20"/>
                <w:szCs w:val="20"/>
                <w:color w:val="auto"/>
              </w:rPr>
            </w:pPr>
            <w:r>
              <w:rPr>
                <w:rFonts w:ascii="Times New Roman" w:cs="Times New Roman" w:eastAsia="Times New Roman" w:hAnsi="Times New Roman"/>
                <w:sz w:val="18"/>
                <w:szCs w:val="18"/>
                <w:b w:val="1"/>
                <w:bCs w:val="1"/>
                <w:color w:val="auto"/>
                <w:w w:val="95"/>
              </w:rPr>
              <w:t>Current</w:t>
            </w:r>
          </w:p>
        </w:tc>
        <w:tc>
          <w:tcPr>
            <w:tcW w:w="6080" w:type="dxa"/>
            <w:vAlign w:val="bottom"/>
            <w:tcBorders>
              <w:bottom w:val="single" w:sz="8" w:color="CCEEFF"/>
            </w:tcBorders>
            <w:gridSpan w:val="2"/>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r>
      <w:tr>
        <w:trPr>
          <w:trHeight w:val="224"/>
        </w:trPr>
        <w:tc>
          <w:tcPr>
            <w:tcW w:w="20" w:type="dxa"/>
            <w:vAlign w:val="bottom"/>
          </w:tcPr>
          <w:p>
            <w:pPr>
              <w:spacing w:after="0"/>
              <w:rPr>
                <w:sz w:val="19"/>
                <w:szCs w:val="19"/>
                <w:color w:val="auto"/>
              </w:rPr>
            </w:pPr>
          </w:p>
        </w:tc>
        <w:tc>
          <w:tcPr>
            <w:tcW w:w="67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42,732</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42,179</w:t>
            </w:r>
          </w:p>
        </w:tc>
        <w:tc>
          <w:tcPr>
            <w:tcW w:w="10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36,138</w:t>
            </w:r>
          </w:p>
        </w:tc>
      </w:tr>
      <w:tr>
        <w:trPr>
          <w:trHeight w:val="224"/>
        </w:trPr>
        <w:tc>
          <w:tcPr>
            <w:tcW w:w="20" w:type="dxa"/>
            <w:vAlign w:val="bottom"/>
            <w:shd w:val="clear" w:color="auto" w:fill="CCEEFF"/>
          </w:tcPr>
          <w:p>
            <w:pPr>
              <w:spacing w:after="0"/>
              <w:rPr>
                <w:sz w:val="19"/>
                <w:szCs w:val="19"/>
                <w:color w:val="auto"/>
              </w:rPr>
            </w:pPr>
          </w:p>
        </w:tc>
        <w:tc>
          <w:tcPr>
            <w:tcW w:w="67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r>
      <w:tr>
        <w:trPr>
          <w:trHeight w:val="217"/>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44,859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37,514</w:t>
            </w:r>
          </w:p>
        </w:tc>
      </w:tr>
      <w:tr>
        <w:trPr>
          <w:trHeight w:val="204"/>
        </w:trPr>
        <w:tc>
          <w:tcPr>
            <w:tcW w:w="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b w:val="1"/>
                <w:bCs w:val="1"/>
                <w:color w:val="auto"/>
                <w:w w:val="95"/>
              </w:rPr>
              <w:t>Deferred</w:t>
            </w:r>
          </w:p>
        </w:tc>
        <w:tc>
          <w:tcPr>
            <w:tcW w:w="60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67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r>
      <w:tr>
        <w:trPr>
          <w:trHeight w:val="224"/>
        </w:trPr>
        <w:tc>
          <w:tcPr>
            <w:tcW w:w="20" w:type="dxa"/>
            <w:vAlign w:val="bottom"/>
            <w:shd w:val="clear" w:color="auto" w:fill="CCEEFF"/>
          </w:tcPr>
          <w:p>
            <w:pPr>
              <w:spacing w:after="0"/>
              <w:rPr>
                <w:sz w:val="19"/>
                <w:szCs w:val="19"/>
                <w:color w:val="auto"/>
              </w:rPr>
            </w:pPr>
          </w:p>
        </w:tc>
        <w:tc>
          <w:tcPr>
            <w:tcW w:w="67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w:t>
            </w:r>
          </w:p>
        </w:tc>
      </w:tr>
      <w:tr>
        <w:trPr>
          <w:trHeight w:val="217"/>
        </w:trPr>
        <w:tc>
          <w:tcPr>
            <w:tcW w:w="2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(5,005)</w:t>
            </w:r>
          </w:p>
        </w:tc>
      </w:tr>
      <w:tr>
        <w:trPr>
          <w:trHeight w:val="242"/>
        </w:trPr>
        <w:tc>
          <w:tcPr>
            <w:tcW w:w="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45,460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Total income tax expense does not reflect the tax effects of items that are included in other comprehensive income each period. The tax effects included each period resulted in net expense in other comprehensive income of $17,634, $4,012 and $19,716 in 2025, 2024 and 2023, respectively. We do not have any foreign operations, and accordingly all net income before income tax relates exclusively to operations within the United States.</w:t>
      </w:r>
    </w:p>
    <w:p>
      <w:pPr>
        <w:spacing w:after="0" w:line="127" w:lineRule="exact"/>
        <w:rPr>
          <w:sz w:val="20"/>
          <w:szCs w:val="20"/>
          <w:color w:val="auto"/>
        </w:rPr>
      </w:pPr>
    </w:p>
    <w:p>
      <w:pPr>
        <w:ind w:right="560"/>
        <w:spacing w:after="0" w:line="268" w:lineRule="auto"/>
        <w:rPr>
          <w:sz w:val="20"/>
          <w:szCs w:val="20"/>
          <w:color w:val="auto"/>
        </w:rPr>
      </w:pPr>
      <w:r>
        <w:rPr>
          <w:rFonts w:ascii="Times New Roman" w:cs="Times New Roman" w:eastAsia="Times New Roman" w:hAnsi="Times New Roman"/>
          <w:sz w:val="18"/>
          <w:szCs w:val="18"/>
          <w:color w:val="auto"/>
        </w:rPr>
        <w:t>The reconciliation of income taxes computed at the United States federal statutory tax rates to the provision for income taxes is as follows for the period presented in accordance with ASU 2023-09:</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r>
      <w:tr>
        <w:trPr>
          <w:trHeight w:val="217"/>
        </w:trPr>
        <w:tc>
          <w:tcPr>
            <w:tcW w:w="8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20" w:type="dxa"/>
            <w:vAlign w:val="bottom"/>
            <w:tcBorders>
              <w:bottom w:val="single" w:sz="8" w:color="auto"/>
            </w:tcBorders>
          </w:tcPr>
          <w:p>
            <w:pPr>
              <w:spacing w:after="0"/>
              <w:rPr>
                <w:sz w:val="18"/>
                <w:szCs w:val="18"/>
                <w:color w:val="auto"/>
              </w:rPr>
            </w:pPr>
          </w:p>
        </w:tc>
      </w:tr>
      <w:tr>
        <w:trPr>
          <w:trHeight w:val="217"/>
        </w:trPr>
        <w:tc>
          <w:tcPr>
            <w:tcW w:w="8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Rate</w:t>
            </w:r>
          </w:p>
        </w:tc>
      </w:tr>
      <w:tr>
        <w:trPr>
          <w:trHeight w:val="217"/>
        </w:trPr>
        <w:tc>
          <w:tcPr>
            <w:tcW w:w="8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47,614</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21.00 %</w:t>
            </w:r>
          </w:p>
        </w:tc>
      </w:tr>
      <w:tr>
        <w:trPr>
          <w:trHeight w:val="224"/>
        </w:trPr>
        <w:tc>
          <w:tcPr>
            <w:tcW w:w="824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State and local income taxes, net of federal income tax effects</w:t>
            </w:r>
            <w:r>
              <w:rPr>
                <w:rFonts w:ascii="Times New Roman" w:cs="Times New Roman" w:eastAsia="Times New Roman" w:hAnsi="Times New Roman"/>
                <w:sz w:val="22"/>
                <w:szCs w:val="22"/>
                <w:color w:val="auto"/>
                <w:vertAlign w:val="superscript"/>
              </w:rPr>
              <w:t>(1)</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0.10 %</w:t>
            </w: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 and related income tax effects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4"/>
        </w:trPr>
        <w:tc>
          <w:tcPr>
            <w:tcW w:w="8240" w:type="dxa"/>
            <w:vAlign w:val="bottom"/>
          </w:tcPr>
          <w:p>
            <w:pPr>
              <w:ind w:left="340"/>
              <w:spacing w:after="0" w:line="224" w:lineRule="exact"/>
              <w:rPr>
                <w:sz w:val="20"/>
                <w:szCs w:val="20"/>
                <w:color w:val="auto"/>
              </w:rPr>
            </w:pPr>
            <w:r>
              <w:rPr>
                <w:rFonts w:ascii="Times New Roman" w:cs="Times New Roman" w:eastAsia="Times New Roman" w:hAnsi="Times New Roman"/>
                <w:sz w:val="18"/>
                <w:szCs w:val="18"/>
                <w:color w:val="auto"/>
              </w:rPr>
              <w:t>Low income housing tax credits and other tax benefits, net of proportional amortization</w:t>
            </w:r>
            <w:r>
              <w:rPr>
                <w:rFonts w:ascii="Times New Roman" w:cs="Times New Roman" w:eastAsia="Times New Roman" w:hAnsi="Times New Roman"/>
                <w:sz w:val="22"/>
                <w:szCs w:val="22"/>
                <w:color w:val="auto"/>
                <w:vertAlign w:val="superscript"/>
              </w:rPr>
              <w:t>(2)</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w:t>
            </w:r>
          </w:p>
        </w:tc>
      </w:tr>
      <w:tr>
        <w:trPr>
          <w:trHeight w:val="224"/>
        </w:trPr>
        <w:tc>
          <w:tcPr>
            <w:tcW w:w="8240" w:type="dxa"/>
            <w:vAlign w:val="bottom"/>
            <w:shd w:val="clear" w:color="auto" w:fill="CCEEFF"/>
          </w:tcPr>
          <w:p>
            <w:pPr>
              <w:ind w:left="340"/>
              <w:spacing w:after="0" w:line="224" w:lineRule="exact"/>
              <w:rPr>
                <w:sz w:val="20"/>
                <w:szCs w:val="20"/>
                <w:color w:val="auto"/>
              </w:rPr>
            </w:pPr>
            <w:r>
              <w:rPr>
                <w:rFonts w:ascii="Times New Roman" w:cs="Times New Roman" w:eastAsia="Times New Roman" w:hAnsi="Times New Roman"/>
                <w:sz w:val="18"/>
                <w:szCs w:val="18"/>
                <w:color w:val="auto"/>
              </w:rPr>
              <w:t>Transferrable energy tax credits, net of cost</w:t>
            </w:r>
            <w:r>
              <w:rPr>
                <w:rFonts w:ascii="Times New Roman" w:cs="Times New Roman" w:eastAsia="Times New Roman" w:hAnsi="Times New Roman"/>
                <w:sz w:val="22"/>
                <w:szCs w:val="22"/>
                <w:color w:val="auto"/>
                <w:vertAlign w:val="superscript"/>
              </w:rPr>
              <w:t>(3)</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4"/>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Tax-exempt interest income</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24"/>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Bank-owned life insurance</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24"/>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2.04 %</w:t>
            </w: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0.35 %</w:t>
            </w:r>
          </w:p>
        </w:tc>
      </w:tr>
      <w:tr>
        <w:trPr>
          <w:trHeight w:val="21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45,460</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20.05 %</w:t>
            </w:r>
          </w:p>
        </w:tc>
      </w:tr>
      <w:tr>
        <w:trPr>
          <w:trHeight w:val="20"/>
        </w:trPr>
        <w:tc>
          <w:tcPr>
            <w:tcW w:w="8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ind w:left="480" w:hanging="159"/>
        <w:spacing w:after="0"/>
        <w:tabs>
          <w:tab w:leader="none" w:pos="480" w:val="left"/>
        </w:tabs>
        <w:numPr>
          <w:ilvl w:val="0"/>
          <w:numId w:val="3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State taxes in Alabama and Tennessee make up the majority of this category</w:t>
      </w:r>
    </w:p>
    <w:p>
      <w:pPr>
        <w:spacing w:after="0" w:line="54" w:lineRule="exact"/>
        <w:rPr>
          <w:rFonts w:ascii="Times New Roman" w:cs="Times New Roman" w:eastAsia="Times New Roman" w:hAnsi="Times New Roman"/>
          <w:sz w:val="20"/>
          <w:szCs w:val="20"/>
          <w:color w:val="auto"/>
          <w:vertAlign w:val="superscript"/>
        </w:rPr>
      </w:pPr>
    </w:p>
    <w:p>
      <w:pPr>
        <w:ind w:left="480" w:hanging="159"/>
        <w:spacing w:after="0" w:line="217" w:lineRule="auto"/>
        <w:tabs>
          <w:tab w:leader="none" w:pos="480" w:val="left"/>
        </w:tabs>
        <w:numPr>
          <w:ilvl w:val="0"/>
          <w:numId w:val="3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Includes tax credits and related benefits of $5,371 and proportional amortization of $4,345</w:t>
      </w:r>
    </w:p>
    <w:p>
      <w:pPr>
        <w:spacing w:after="0" w:line="55" w:lineRule="exact"/>
        <w:rPr>
          <w:rFonts w:ascii="Times New Roman" w:cs="Times New Roman" w:eastAsia="Times New Roman" w:hAnsi="Times New Roman"/>
          <w:sz w:val="20"/>
          <w:szCs w:val="20"/>
          <w:color w:val="auto"/>
          <w:vertAlign w:val="superscript"/>
        </w:rPr>
      </w:pPr>
    </w:p>
    <w:p>
      <w:pPr>
        <w:ind w:left="480" w:hanging="159"/>
        <w:spacing w:after="0" w:line="217" w:lineRule="auto"/>
        <w:tabs>
          <w:tab w:leader="none" w:pos="480" w:val="left"/>
        </w:tabs>
        <w:numPr>
          <w:ilvl w:val="0"/>
          <w:numId w:val="3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Includes transferrable tax credits of $5,315 and related cost of $4,786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Income Taxes (continued)</w:t>
      </w:r>
    </w:p>
    <w:p>
      <w:pPr>
        <w:spacing w:after="0" w:line="26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The table below reconciles the Company’s tax expense at the U.S. federal statutory income tax rate to tax expense at the effective tax rate, as previously disclosed prior to the adoption of ASU 2023-09, for the years ended December 31, 2024 and 2023.</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17"/>
        </w:trPr>
        <w:tc>
          <w:tcPr>
            <w:tcW w:w="8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at U.S. statutory rate</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37,209</w:t>
            </w:r>
          </w:p>
        </w:tc>
        <w:tc>
          <w:tcPr>
            <w:tcW w:w="0" w:type="dxa"/>
            <w:vAlign w:val="bottom"/>
          </w:tcPr>
          <w:p>
            <w:pPr>
              <w:spacing w:after="0"/>
              <w:rPr>
                <w:sz w:val="1"/>
                <w:szCs w:val="1"/>
                <w:color w:val="auto"/>
              </w:rPr>
            </w:pP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taxes resulting from:</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Tax-exempt interest income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0" w:type="dxa"/>
            <w:vAlign w:val="bottom"/>
          </w:tcPr>
          <w:p>
            <w:pPr>
              <w:spacing w:after="0"/>
              <w:rPr>
                <w:sz w:val="1"/>
                <w:szCs w:val="1"/>
                <w:color w:val="auto"/>
              </w:rPr>
            </w:pPr>
          </w:p>
        </w:tc>
      </w:tr>
      <w:tr>
        <w:trPr>
          <w:trHeight w:val="224"/>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BOLI income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 tax credits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0" w:type="dxa"/>
            <w:vAlign w:val="bottom"/>
          </w:tcPr>
          <w:p>
            <w:pPr>
              <w:spacing w:after="0"/>
              <w:rPr>
                <w:sz w:val="1"/>
                <w:szCs w:val="1"/>
                <w:color w:val="auto"/>
              </w:rPr>
            </w:pPr>
          </w:p>
        </w:tc>
      </w:tr>
      <w:tr>
        <w:trPr>
          <w:trHeight w:val="224"/>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investment in low-income housing tax credits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State income tax expense, net of federal benefit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0" w:type="dxa"/>
            <w:vAlign w:val="bottom"/>
          </w:tcPr>
          <w:p>
            <w:pPr>
              <w:spacing w:after="0"/>
              <w:rPr>
                <w:sz w:val="1"/>
                <w:szCs w:val="1"/>
                <w:color w:val="auto"/>
              </w:rPr>
            </w:pPr>
          </w:p>
        </w:tc>
      </w:tr>
      <w:tr>
        <w:trPr>
          <w:trHeight w:val="224"/>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Nondeductible transaction costs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items, net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0" w:type="dxa"/>
            <w:vAlign w:val="bottom"/>
          </w:tcPr>
          <w:p>
            <w:pPr>
              <w:spacing w:after="0"/>
              <w:rPr>
                <w:sz w:val="1"/>
                <w:szCs w:val="1"/>
                <w:color w:val="auto"/>
              </w:rPr>
            </w:pPr>
          </w:p>
        </w:tc>
      </w:tr>
      <w:tr>
        <w:trPr>
          <w:trHeight w:val="217"/>
        </w:trPr>
        <w:tc>
          <w:tcPr>
            <w:tcW w:w="8260" w:type="dxa"/>
            <w:vAlign w:val="bottom"/>
          </w:tcPr>
          <w:p>
            <w:pPr>
              <w:spacing w:after="0"/>
              <w:rPr>
                <w:sz w:val="18"/>
                <w:szCs w:val="18"/>
                <w:color w:val="auto"/>
              </w:rPr>
            </w:pP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49,508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32,509</w:t>
            </w:r>
          </w:p>
        </w:tc>
        <w:tc>
          <w:tcPr>
            <w:tcW w:w="0" w:type="dxa"/>
            <w:vAlign w:val="bottom"/>
          </w:tcPr>
          <w:p>
            <w:pPr>
              <w:spacing w:after="0"/>
              <w:rPr>
                <w:sz w:val="1"/>
                <w:szCs w:val="1"/>
                <w:color w:val="auto"/>
              </w:rPr>
            </w:pPr>
          </w:p>
        </w:tc>
      </w:tr>
      <w:tr>
        <w:trPr>
          <w:trHeight w:val="20"/>
        </w:trPr>
        <w:tc>
          <w:tcPr>
            <w:tcW w:w="8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effective tax rate was 20.21% and 18.35% for the years ended December 31, 2024 and 2023, respectively.</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2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Payments</w:t>
            </w:r>
          </w:p>
        </w:tc>
        <w:tc>
          <w:tcPr>
            <w:tcW w:w="32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1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16,407</w:t>
            </w:r>
          </w:p>
        </w:tc>
        <w:tc>
          <w:tcPr>
            <w:tcW w:w="0" w:type="dxa"/>
            <w:vAlign w:val="bottom"/>
          </w:tcPr>
          <w:p>
            <w:pPr>
              <w:spacing w:after="0"/>
              <w:rPr>
                <w:sz w:val="1"/>
                <w:szCs w:val="1"/>
                <w:color w:val="auto"/>
              </w:rPr>
            </w:pP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State</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Mississippi</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4"/>
        </w:trPr>
        <w:tc>
          <w:tcPr>
            <w:tcW w:w="82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states</w:t>
            </w:r>
          </w:p>
        </w:tc>
        <w:tc>
          <w:tcPr>
            <w:tcW w:w="3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0" w:type="dxa"/>
            <w:vAlign w:val="bottom"/>
          </w:tcPr>
          <w:p>
            <w:pPr>
              <w:spacing w:after="0"/>
              <w:rPr>
                <w:sz w:val="1"/>
                <w:szCs w:val="1"/>
                <w:color w:val="auto"/>
              </w:rPr>
            </w:pPr>
          </w:p>
        </w:tc>
      </w:tr>
      <w:tr>
        <w:trPr>
          <w:trHeight w:val="242"/>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income taxes paid</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18,363</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 paid were $29,065 and $42,047 for the years ended December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Income Taxes (continued)</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and liabilities are as follows for the periods presented: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3"/>
        </w:trPr>
        <w:tc>
          <w:tcPr>
            <w:tcW w:w="82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78,819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53,349</w:t>
            </w:r>
          </w:p>
        </w:tc>
        <w:tc>
          <w:tcPr>
            <w:tcW w:w="0" w:type="dxa"/>
            <w:vAlign w:val="bottom"/>
          </w:tcPr>
          <w:p>
            <w:pPr>
              <w:spacing w:after="0"/>
              <w:rPr>
                <w:sz w:val="1"/>
                <w:szCs w:val="1"/>
                <w:color w:val="auto"/>
              </w:rPr>
            </w:pP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15,695</w:t>
            </w:r>
          </w:p>
        </w:tc>
        <w:tc>
          <w:tcPr>
            <w:tcW w:w="0" w:type="dxa"/>
            <w:vAlign w:val="bottom"/>
          </w:tcPr>
          <w:p>
            <w:pPr>
              <w:spacing w:after="0"/>
              <w:rPr>
                <w:sz w:val="1"/>
                <w:szCs w:val="1"/>
                <w:color w:val="auto"/>
              </w:rPr>
            </w:pP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unrealized losses on securities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47,059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47,199</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0" w:type="dxa"/>
            <w:vAlign w:val="bottom"/>
          </w:tcPr>
          <w:p>
            <w:pPr>
              <w:spacing w:after="0"/>
              <w:rPr>
                <w:sz w:val="1"/>
                <w:szCs w:val="1"/>
                <w:color w:val="auto"/>
              </w:rPr>
            </w:pP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8,781</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partnerships</w:t>
            </w: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under operating leases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12,423</w:t>
            </w:r>
          </w:p>
        </w:tc>
        <w:tc>
          <w:tcPr>
            <w:tcW w:w="0" w:type="dxa"/>
            <w:vAlign w:val="bottom"/>
          </w:tcPr>
          <w:p>
            <w:pPr>
              <w:spacing w:after="0"/>
              <w:rPr>
                <w:sz w:val="1"/>
                <w:szCs w:val="1"/>
                <w:color w:val="auto"/>
              </w:rPr>
            </w:pPr>
          </w:p>
        </w:tc>
      </w:tr>
      <w:tr>
        <w:trPr>
          <w:trHeight w:val="224"/>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0" w:type="dxa"/>
            <w:vAlign w:val="bottom"/>
          </w:tcPr>
          <w:p>
            <w:pPr>
              <w:spacing w:after="0"/>
              <w:rPr>
                <w:sz w:val="1"/>
                <w:szCs w:val="1"/>
                <w:color w:val="auto"/>
              </w:rPr>
            </w:pPr>
          </w:p>
        </w:tc>
      </w:tr>
      <w:tr>
        <w:trPr>
          <w:trHeight w:val="21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238,760</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141,473</w:t>
            </w:r>
          </w:p>
        </w:tc>
        <w:tc>
          <w:tcPr>
            <w:tcW w:w="0" w:type="dxa"/>
            <w:vAlign w:val="bottom"/>
          </w:tcPr>
          <w:p>
            <w:pPr>
              <w:spacing w:after="0"/>
              <w:rPr>
                <w:sz w:val="1"/>
                <w:szCs w:val="1"/>
                <w:color w:val="auto"/>
              </w:rPr>
            </w:pPr>
          </w:p>
        </w:tc>
      </w:tr>
      <w:tr>
        <w:trPr>
          <w:trHeight w:val="204"/>
        </w:trPr>
        <w:tc>
          <w:tcPr>
            <w:tcW w:w="826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9,927</w:t>
            </w:r>
          </w:p>
        </w:tc>
        <w:tc>
          <w:tcPr>
            <w:tcW w:w="0" w:type="dxa"/>
            <w:vAlign w:val="bottom"/>
          </w:tcPr>
          <w:p>
            <w:pPr>
              <w:spacing w:after="0"/>
              <w:rPr>
                <w:sz w:val="1"/>
                <w:szCs w:val="1"/>
                <w:color w:val="auto"/>
              </w:rPr>
            </w:pP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servicing rights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15,841</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Junior subordinated debt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0" w:type="dxa"/>
            <w:vAlign w:val="bottom"/>
          </w:tcPr>
          <w:p>
            <w:pPr>
              <w:spacing w:after="0"/>
              <w:rPr>
                <w:sz w:val="1"/>
                <w:szCs w:val="1"/>
                <w:color w:val="auto"/>
              </w:rPr>
            </w:pP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37,159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3,652</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right-of-use asset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11,775</w:t>
            </w:r>
          </w:p>
        </w:tc>
        <w:tc>
          <w:tcPr>
            <w:tcW w:w="0" w:type="dxa"/>
            <w:vAlign w:val="bottom"/>
          </w:tcPr>
          <w:p>
            <w:pPr>
              <w:spacing w:after="0"/>
              <w:rPr>
                <w:sz w:val="1"/>
                <w:szCs w:val="1"/>
                <w:color w:val="auto"/>
              </w:rPr>
            </w:pP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w:t>
            </w: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7,638</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w:t>
            </w:r>
          </w:p>
        </w:tc>
        <w:tc>
          <w:tcPr>
            <w:tcW w:w="0" w:type="dxa"/>
            <w:vAlign w:val="bottom"/>
          </w:tcPr>
          <w:p>
            <w:pPr>
              <w:spacing w:after="0"/>
              <w:rPr>
                <w:sz w:val="1"/>
                <w:szCs w:val="1"/>
                <w:color w:val="auto"/>
              </w:rPr>
            </w:pPr>
          </w:p>
        </w:tc>
      </w:tr>
      <w:tr>
        <w:trPr>
          <w:trHeight w:val="217"/>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93,212</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54,438</w:t>
            </w:r>
          </w:p>
        </w:tc>
        <w:tc>
          <w:tcPr>
            <w:tcW w:w="0" w:type="dxa"/>
            <w:vAlign w:val="bottom"/>
          </w:tcPr>
          <w:p>
            <w:pPr>
              <w:spacing w:after="0"/>
              <w:rPr>
                <w:sz w:val="1"/>
                <w:szCs w:val="1"/>
                <w:color w:val="auto"/>
              </w:rPr>
            </w:pPr>
          </w:p>
        </w:tc>
      </w:tr>
      <w:tr>
        <w:trPr>
          <w:trHeight w:val="242"/>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145,548</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87,035</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and its corporate, non-real estate investment trust subsidiaries file a consolidated U.S. federal income tax return. The Company is currently open to audit under the statute of limitations by the Internal Revenue Service for the years ending December 31, 2022 through 2024. The Company and its subsidiaries’ state income tax returns are open to audit under the statute of limitations for the years ended December 31, 2021 through 2024.</w:t>
      </w:r>
    </w:p>
    <w:p>
      <w:pPr>
        <w:spacing w:after="0" w:line="12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Company had unused Federal net operating losses of $80,173 at December 31, 2025; there were no unused Federal net operating losses at December 31, 2024. The Company had unused State net operating losses of $114,780 and $140 at December 31, 2025 and December 31, 2024, respectively. No allowance existed against these net operating losses, as the Company determined it was more likely than not they would be fully realized. Substantially all of the net operating losses were acquired as part of the acquisition of The First in April 2025. Due to pre-existing ownership changes, the ability to utilize these net operating losses is limited under Code Section 382. The amount of net operating losses disclosed above reflects the maximum amount that can be utilized pursuant to Code Section 382.</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unused state tax credits in various jurisdictions for the year ended December 31, 2025 and 2024 of $15,575 and $11,115, respectively, which can be carried forward for periods ranging from five to 25 years. The Company determined, based on all available evidence, that it is more likely than not that the Company will realize the full amount of these credits, and no valuation allowance has been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Income Taxes (continued)</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excluding interest, related to federal and state income tax matters as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follows below:</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72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96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6"/>
              </w:rPr>
              <w:t>501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based on positions related to current period</w:t>
            </w:r>
          </w:p>
        </w:tc>
        <w:tc>
          <w:tcPr>
            <w:tcW w:w="960" w:type="dxa"/>
            <w:vAlign w:val="bottom"/>
          </w:tcPr>
          <w:p>
            <w:pPr>
              <w:spacing w:after="0"/>
              <w:rPr>
                <w:sz w:val="19"/>
                <w:szCs w:val="19"/>
                <w:color w:val="auto"/>
              </w:rPr>
            </w:pPr>
          </w:p>
        </w:tc>
        <w:tc>
          <w:tcPr>
            <w:tcW w:w="4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6"/>
              </w:rPr>
              <w:t>170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due to lapse of statute of limitations</w:t>
            </w: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9"/>
              </w:rPr>
              <w:t>(88)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96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w w:val="96"/>
              </w:rPr>
              <w:t>375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0"/>
        </w:trPr>
        <w:tc>
          <w:tcPr>
            <w:tcW w:w="6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ultimately recognized, the Company does not anticipate any material increase in the effective tax rate for 2025 relative to any tax positions taken prior to January 1, 2025. The Company has accrued $56, $41 and $26 for interest and penalties related to unrecognized tax benefits as of December 31, 2025, 2024 and 2023, respectively. The Company recognized accrued interest and penalties on unrecognized tax benefits as a component of income tax expense.</w:t>
      </w:r>
    </w:p>
    <w:p>
      <w:pPr>
        <w:spacing w:after="0" w:line="12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 holds investments in limited partnerships and similar entities (“LPs”) that are not consolidated in the financial statements. These LPs construct, own, and operate affordable housing, solar energy farms, and similar projects. Typically, an unrelated third party is the general partner or managing member and is primarily responsible for overseeing and controlling these projects. As an investor in these LPs, certain tax credits (“ITC”), primarily Low-Income Housing Tax Credits under Code Section 42 (“LIHTC”) and Energy Credits under Code Section 48, are allocated to the Company. These ITC are recognized as income tax benefits in the Company’s Consolidated Statements of Income over the period in which they are earned, which is typically ten years and one year for LIHTC and Energy Credits, respectively, beginning when the related projects are placed in service, as determined under the Code and related regulations. These investments are recorded to “Other assets” in the Consolidated Balance Sheets, and are amortized ratably based on the realization of ITC using the practical expedient method described in ASU 2014-01. The balance of these investments recorded to Other assets was $44,157 and $13,366 at December 31, 2025 and 2024, respectively. For the year ended December 31, 2025 and 2024, the Company recognized $4,599 and $2,977, respectively, of benefits from ITC and recorded $4,371 and $2,851, respectively, of amortization on the LP investments, all of which were recorded to the “Income taxes” line item in the Consolidated Statements of Income. The non-income-tax-related income or expenses related to the Company’s LP investments were not significant in 2025 and 2024. The Company is continuing to pursue opportunities to invest in similar LPs and as of December 31, 2025, had unfunded commitments related to similar ITC investments of $96,833. The Company’s risk of loss on these projects is generally mitigated by policies requiring that the project qualify for the expected ITC prior to making its investment.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Fair Value Measurements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Fair Value Measurements</w:t>
      </w:r>
    </w:p>
    <w:p>
      <w:pPr>
        <w:spacing w:after="0" w:line="1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carries certain assets and liabilities at fair value on a recurring basis. The Company’s recurring fair value measurements are based on the requirement to carry such assets and liabilities at fair value or the Company’s election to carry certain eligible assets and liabilities at fair value. Assets and liabilities that are required to be carried at fair value include securities available for sale and derivative instruments. The Company has elected to carry mortgage loans held for sale at fair value on a recurring basis as permitted under the guidance in ASC 825.</w:t>
      </w:r>
    </w:p>
    <w:p>
      <w:pPr>
        <w:spacing w:after="0" w:line="1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following methods and assumptions are used by the Company to estimate the fair values of the Company’s financial assets and liabilities that are measured on a recurring basis:</w:t>
      </w:r>
    </w:p>
    <w:p>
      <w:pPr>
        <w:spacing w:after="0" w:line="11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u w:val="single" w:color="auto"/>
          <w:color w:val="auto"/>
        </w:rPr>
        <w:t>Securities available for sale</w:t>
      </w:r>
      <w:r>
        <w:rPr>
          <w:rFonts w:ascii="Times New Roman" w:cs="Times New Roman" w:eastAsia="Times New Roman" w:hAnsi="Times New Roman"/>
          <w:sz w:val="18"/>
          <w:szCs w:val="18"/>
          <w:color w:val="auto"/>
        </w:rPr>
        <w:t>: Securities available for sale consist of debt securities, such as obligations of U.S. Government agencies and corporations and mortgage-backed securities. Where quoted market prices in active markets are available, securities are classified within Level 1 of the fair value hierarchy. If quoted prices from active markets are not available, fair values are based on quoted market prices for similar instruments traded in active markets, quoted market prices for identical or similar instruments traded in markets that are not active, or model-based valuation techniques where all significant assumptions are observable in the market. Such instruments are classified within Level 2 of the fair value hierarchy. All Level 2 securities, including state and political subdivisions, mortgage-backed securities and other debt securities are valued using model-based valuation techniques where all significant assumptions are observable. When assumptions used in model-based valuation techniques are not observable in the market, the assumptions used by management reflect estimates of assumptions used by</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Fair Value Measurements (continued)</w:t>
      </w:r>
    </w:p>
    <w:p>
      <w:pPr>
        <w:spacing w:after="0" w:line="26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other market participants in determining fair value. When there is limited transparency around the inputs to the valuation, the instruments are classified within Level 3 of the fair value hierarchy.</w:t>
      </w:r>
    </w:p>
    <w:p>
      <w:pPr>
        <w:spacing w:after="0" w:line="11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u w:val="single" w:color="auto"/>
          <w:color w:val="auto"/>
        </w:rPr>
        <w:t>Derivative instruments</w:t>
      </w:r>
      <w:r>
        <w:rPr>
          <w:rFonts w:ascii="Times New Roman" w:cs="Times New Roman" w:eastAsia="Times New Roman" w:hAnsi="Times New Roman"/>
          <w:sz w:val="18"/>
          <w:szCs w:val="18"/>
          <w:color w:val="auto"/>
        </w:rPr>
        <w:t>: Most of the Company’s derivative contracts are actively traded in over-the-counter markets and are valued using discounted cash flow models which incorporate observable market based inputs including current market interest rates, credit spreads, and other factors. Such instruments are categorized within Level 2 of the fair value hierarchy and include interest rate swaps and other interest rate contracts including interest rate caps and/or floors. The Company’s interest rate lock commitments are valued using current market prices for mortgage-backed securities with similar characteristics, adjusted for certain factors including servicing and risk. The value of the Company’s forward commitments is based on current prices for securities backed by similar types of loans. Because these assumptions are observable in active markets, the Company’s interest rate lock commitments and forward commitments are categorized within Level 2 of the fair value hierarchy.</w:t>
      </w:r>
    </w:p>
    <w:p>
      <w:pPr>
        <w:spacing w:after="0" w:line="1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u w:val="single" w:color="auto"/>
          <w:color w:val="auto"/>
        </w:rPr>
        <w:t>Mortgage loans held for sale in loans held for sale</w:t>
      </w:r>
      <w:r>
        <w:rPr>
          <w:rFonts w:ascii="Times New Roman" w:cs="Times New Roman" w:eastAsia="Times New Roman" w:hAnsi="Times New Roman"/>
          <w:sz w:val="18"/>
          <w:szCs w:val="18"/>
          <w:color w:val="auto"/>
        </w:rPr>
        <w:t>: The Company has elected to carry mortgage loans held for sale at fair value on a recurring basis under the fair value option. Mortgage loans held for sale are primarily agency loans which trade in active secondary markets. The fair value of these instruments is derived from current market pricing for similar loans, adjusted for differences in loan characteristics, including servicing and risk. Because the valuation is based on external pricing of similar instruments, mortgage loans held for sale are classified within Level 2 of the fair value hierarchy.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assets and liabilities that are measured at fair value on a recurring basis as of the dates presented: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20" w:type="dxa"/>
            <w:vAlign w:val="bottom"/>
          </w:tcPr>
          <w:p>
            <w:pPr>
              <w:spacing w:after="0"/>
              <w:rPr>
                <w:sz w:val="16"/>
                <w:szCs w:val="16"/>
                <w:color w:val="auto"/>
              </w:rPr>
            </w:pPr>
          </w:p>
        </w:tc>
        <w:tc>
          <w:tcPr>
            <w:tcW w:w="104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6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Totals</w:t>
            </w:r>
          </w:p>
        </w:tc>
      </w:tr>
      <w:tr>
        <w:trPr>
          <w:trHeight w:val="24"/>
        </w:trPr>
        <w:tc>
          <w:tcPr>
            <w:tcW w:w="52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4"/>
        </w:trPr>
        <w:tc>
          <w:tcPr>
            <w:tcW w:w="522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December 31, 2025</w:t>
            </w:r>
          </w:p>
        </w:tc>
        <w:tc>
          <w:tcPr>
            <w:tcW w:w="1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4"/>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4"/>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1040" w:type="dxa"/>
            <w:vAlign w:val="bottom"/>
            <w:shd w:val="clear" w:color="auto" w:fill="CCEEFF"/>
          </w:tcPr>
          <w:p>
            <w:pPr>
              <w:jc w:val="right"/>
              <w:ind w:right="857"/>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2,560,818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7"/>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2,560,818</w:t>
            </w:r>
          </w:p>
        </w:tc>
      </w:tr>
      <w:tr>
        <w:trPr>
          <w:trHeight w:val="224"/>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1040" w:type="dxa"/>
            <w:vAlign w:val="bottom"/>
          </w:tcPr>
          <w:p>
            <w:pPr>
              <w:spacing w:after="0"/>
              <w:rPr>
                <w:sz w:val="19"/>
                <w:szCs w:val="19"/>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47,098</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47,098</w:t>
            </w:r>
          </w:p>
        </w:tc>
      </w:tr>
      <w:tr>
        <w:trPr>
          <w:trHeight w:val="224"/>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loans held for sale in loans held for sale</w:t>
            </w:r>
          </w:p>
        </w:tc>
        <w:tc>
          <w:tcPr>
            <w:tcW w:w="10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265,959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265,959</w:t>
            </w:r>
          </w:p>
        </w:tc>
      </w:tr>
      <w:tr>
        <w:trPr>
          <w:trHeight w:val="217"/>
        </w:trPr>
        <w:tc>
          <w:tcPr>
            <w:tcW w:w="52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Total financial assets</w:t>
            </w:r>
          </w:p>
        </w:tc>
        <w:tc>
          <w:tcPr>
            <w:tcW w:w="1040" w:type="dxa"/>
            <w:vAlign w:val="bottom"/>
            <w:tcBorders>
              <w:top w:val="single" w:sz="8" w:color="auto"/>
              <w:bottom w:val="single" w:sz="8" w:color="auto"/>
            </w:tcBorders>
          </w:tcPr>
          <w:p>
            <w:pPr>
              <w:jc w:val="right"/>
              <w:ind w:right="857"/>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2,873,875</w:t>
            </w:r>
          </w:p>
        </w:tc>
        <w:tc>
          <w:tcPr>
            <w:tcW w:w="10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877"/>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2,873,875</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0"/>
        </w:trPr>
        <w:tc>
          <w:tcPr>
            <w:tcW w:w="522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Financial liabilities:</w:t>
            </w:r>
          </w:p>
        </w:tc>
        <w:tc>
          <w:tcPr>
            <w:tcW w:w="104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r>
      <w:tr>
        <w:trPr>
          <w:trHeight w:val="217"/>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1040" w:type="dxa"/>
            <w:vAlign w:val="bottom"/>
            <w:tcBorders>
              <w:bottom w:val="single" w:sz="8" w:color="auto"/>
            </w:tcBorders>
          </w:tcPr>
          <w:p>
            <w:pPr>
              <w:jc w:val="right"/>
              <w:ind w:right="857"/>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41,484</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ind w:right="877"/>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41,484</w:t>
            </w:r>
          </w:p>
        </w:tc>
      </w:tr>
      <w:tr>
        <w:trPr>
          <w:trHeight w:val="20"/>
        </w:trPr>
        <w:tc>
          <w:tcPr>
            <w:tcW w:w="5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16"/>
        </w:trPr>
        <w:tc>
          <w:tcPr>
            <w:tcW w:w="5220" w:type="dxa"/>
            <w:vAlign w:val="bottom"/>
          </w:tcPr>
          <w:p>
            <w:pPr>
              <w:spacing w:after="0"/>
              <w:rPr>
                <w:sz w:val="24"/>
                <w:szCs w:val="24"/>
                <w:color w:val="auto"/>
              </w:rPr>
            </w:pPr>
          </w:p>
        </w:tc>
        <w:tc>
          <w:tcPr>
            <w:tcW w:w="104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6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Totals</w:t>
            </w:r>
          </w:p>
        </w:tc>
      </w:tr>
      <w:tr>
        <w:trPr>
          <w:trHeight w:val="24"/>
        </w:trPr>
        <w:tc>
          <w:tcPr>
            <w:tcW w:w="52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4"/>
        </w:trPr>
        <w:tc>
          <w:tcPr>
            <w:tcW w:w="522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December 31, 2024</w:t>
            </w:r>
          </w:p>
        </w:tc>
        <w:tc>
          <w:tcPr>
            <w:tcW w:w="1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4"/>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4"/>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1040" w:type="dxa"/>
            <w:vAlign w:val="bottom"/>
            <w:shd w:val="clear" w:color="auto" w:fill="CCEEFF"/>
          </w:tcPr>
          <w:p>
            <w:pPr>
              <w:jc w:val="right"/>
              <w:ind w:right="857"/>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831,013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7"/>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831,013</w:t>
            </w:r>
          </w:p>
        </w:tc>
      </w:tr>
      <w:tr>
        <w:trPr>
          <w:trHeight w:val="224"/>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1040" w:type="dxa"/>
            <w:vAlign w:val="bottom"/>
          </w:tcPr>
          <w:p>
            <w:pPr>
              <w:spacing w:after="0"/>
              <w:rPr>
                <w:sz w:val="19"/>
                <w:szCs w:val="19"/>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38,954</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38,954</w:t>
            </w:r>
          </w:p>
        </w:tc>
      </w:tr>
      <w:tr>
        <w:trPr>
          <w:trHeight w:val="224"/>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loans held for sale in loans held for sale</w:t>
            </w:r>
          </w:p>
        </w:tc>
        <w:tc>
          <w:tcPr>
            <w:tcW w:w="10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246,171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246,171</w:t>
            </w:r>
          </w:p>
        </w:tc>
      </w:tr>
      <w:tr>
        <w:trPr>
          <w:trHeight w:val="217"/>
        </w:trPr>
        <w:tc>
          <w:tcPr>
            <w:tcW w:w="52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Total financial assets</w:t>
            </w:r>
          </w:p>
        </w:tc>
        <w:tc>
          <w:tcPr>
            <w:tcW w:w="1040" w:type="dxa"/>
            <w:vAlign w:val="bottom"/>
            <w:tcBorders>
              <w:top w:val="single" w:sz="8" w:color="auto"/>
              <w:bottom w:val="single" w:sz="8" w:color="auto"/>
            </w:tcBorders>
          </w:tcPr>
          <w:p>
            <w:pPr>
              <w:jc w:val="right"/>
              <w:ind w:right="857"/>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1,116,138</w:t>
            </w:r>
          </w:p>
        </w:tc>
        <w:tc>
          <w:tcPr>
            <w:tcW w:w="10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877"/>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1,116,138</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0"/>
        </w:trPr>
        <w:tc>
          <w:tcPr>
            <w:tcW w:w="522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Financial liabilities:</w:t>
            </w:r>
          </w:p>
        </w:tc>
        <w:tc>
          <w:tcPr>
            <w:tcW w:w="104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r>
      <w:tr>
        <w:trPr>
          <w:trHeight w:val="217"/>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1040" w:type="dxa"/>
            <w:vAlign w:val="bottom"/>
            <w:tcBorders>
              <w:bottom w:val="single" w:sz="8" w:color="auto"/>
            </w:tcBorders>
          </w:tcPr>
          <w:p>
            <w:pPr>
              <w:jc w:val="right"/>
              <w:ind w:right="857"/>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32,268</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ind w:right="877"/>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32,268</w:t>
            </w:r>
          </w:p>
        </w:tc>
      </w:tr>
      <w:tr>
        <w:trPr>
          <w:trHeight w:val="20"/>
        </w:trPr>
        <w:tc>
          <w:tcPr>
            <w:tcW w:w="5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reviews fair value hierarchy classifications on a quarterly basis. Changes in the Company’s ability to observe inputs to the valuation may cause reclassification of certain assets or liabilities within the fair value hierarchy. There were no such transfers between levels of the fair value hierarchy during the year ended December 31, 2025.</w:t>
      </w:r>
    </w:p>
    <w:p>
      <w:pPr>
        <w:spacing w:after="0" w:line="12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For 2025 and 2024, there were no gains or losses included in earnings that were attributable to the change in unrealized gains or losses related to assets or liabilities held at the end of each respective period that were measured on a recurring basis using significant unobservable inputs.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Nonrecurring Fair Value Measurements</w:t>
      </w:r>
    </w:p>
    <w:p>
      <w:pPr>
        <w:spacing w:after="0" w:line="1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assets may be recorded at fair value on a nonrecurring basis. These nonrecurring fair value adjustments typically are a result of the application of the lower of cost or market accounting or a write-down occurring during the period. The following tables provide as of the dates presented the fair value measurement for assets measured at fair value on a nonrecurring basis that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16 – Fair Value Measurements (continued)</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7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were  still  held  on  the  Consolidated  Balance  Sheets</w:t>
            </w:r>
          </w:p>
        </w:tc>
        <w:tc>
          <w:tcPr>
            <w:tcW w:w="17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at  period  end  and</w:t>
            </w:r>
          </w:p>
        </w:tc>
        <w:tc>
          <w:tcPr>
            <w:tcW w:w="17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the  level  within  the</w:t>
            </w:r>
          </w:p>
        </w:tc>
        <w:tc>
          <w:tcPr>
            <w:tcW w:w="4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fair</w:t>
            </w:r>
          </w:p>
        </w:tc>
        <w:tc>
          <w:tcPr>
            <w:tcW w:w="100" w:type="dxa"/>
            <w:vAlign w:val="bottom"/>
          </w:tcPr>
          <w:p>
            <w:pPr>
              <w:spacing w:after="0"/>
              <w:rPr>
                <w:sz w:val="24"/>
                <w:szCs w:val="24"/>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value  hierarchy</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6"/>
              </w:rPr>
              <w:t>each</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is  classified:</w:t>
            </w:r>
          </w:p>
        </w:tc>
      </w:tr>
      <w:tr>
        <w:trPr>
          <w:trHeight w:val="201"/>
        </w:trPr>
        <w:tc>
          <w:tcPr>
            <w:tcW w:w="4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w w:val="97"/>
              </w:rPr>
              <w:t>Level 1</w:t>
            </w: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Level 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Totals</w:t>
            </w:r>
          </w:p>
        </w:tc>
      </w:tr>
      <w:tr>
        <w:trPr>
          <w:trHeight w:val="24"/>
        </w:trPr>
        <w:tc>
          <w:tcPr>
            <w:tcW w:w="44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4"/>
        </w:trPr>
        <w:tc>
          <w:tcPr>
            <w:tcW w:w="440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December 31, 2025</w:t>
            </w: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4"/>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Collateral dependent loans</w:t>
            </w:r>
          </w:p>
        </w:tc>
        <w:tc>
          <w:tcPr>
            <w:tcW w:w="17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6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87,680</w:t>
            </w:r>
          </w:p>
        </w:tc>
        <w:tc>
          <w:tcPr>
            <w:tcW w:w="20" w:type="dxa"/>
            <w:vAlign w:val="bottom"/>
          </w:tcPr>
          <w:p>
            <w:pPr>
              <w:spacing w:after="0"/>
              <w:rPr>
                <w:sz w:val="19"/>
                <w:szCs w:val="19"/>
                <w:color w:val="auto"/>
              </w:rPr>
            </w:pPr>
          </w:p>
        </w:tc>
        <w:tc>
          <w:tcPr>
            <w:tcW w:w="420" w:type="dxa"/>
            <w:vAlign w:val="bottom"/>
            <w:gridSpan w:val="3"/>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87,680</w:t>
            </w:r>
          </w:p>
        </w:tc>
      </w:tr>
      <w:tr>
        <w:trPr>
          <w:trHeight w:val="224"/>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OREO</w:t>
            </w: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spacing w:after="0"/>
              <w:rPr>
                <w:sz w:val="19"/>
                <w:szCs w:val="19"/>
                <w:color w:val="auto"/>
              </w:rPr>
            </w:pPr>
          </w:p>
        </w:tc>
        <w:tc>
          <w:tcPr>
            <w:tcW w:w="40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w:t>
            </w:r>
          </w:p>
        </w:tc>
      </w:tr>
      <w:tr>
        <w:trPr>
          <w:trHeight w:val="217"/>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center"/>
              <w:ind w:right="74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96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91,218</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91,218</w:t>
            </w:r>
          </w:p>
        </w:tc>
      </w:tr>
      <w:tr>
        <w:trPr>
          <w:trHeight w:val="20"/>
        </w:trPr>
        <w:tc>
          <w:tcPr>
            <w:tcW w:w="4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43"/>
        </w:trPr>
        <w:tc>
          <w:tcPr>
            <w:tcW w:w="4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Level 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Totals</w:t>
            </w:r>
          </w:p>
        </w:tc>
      </w:tr>
      <w:tr>
        <w:trPr>
          <w:trHeight w:val="24"/>
        </w:trPr>
        <w:tc>
          <w:tcPr>
            <w:tcW w:w="44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4"/>
        </w:trPr>
        <w:tc>
          <w:tcPr>
            <w:tcW w:w="440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December 31, 2024</w:t>
            </w: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4"/>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Collateral dependent loans</w:t>
            </w:r>
          </w:p>
        </w:tc>
        <w:tc>
          <w:tcPr>
            <w:tcW w:w="17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80"/>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38,374</w:t>
            </w:r>
          </w:p>
        </w:tc>
        <w:tc>
          <w:tcPr>
            <w:tcW w:w="20" w:type="dxa"/>
            <w:vAlign w:val="bottom"/>
          </w:tcPr>
          <w:p>
            <w:pPr>
              <w:spacing w:after="0"/>
              <w:rPr>
                <w:sz w:val="19"/>
                <w:szCs w:val="19"/>
                <w:color w:val="auto"/>
              </w:rPr>
            </w:pPr>
          </w:p>
        </w:tc>
        <w:tc>
          <w:tcPr>
            <w:tcW w:w="420" w:type="dxa"/>
            <w:vAlign w:val="bottom"/>
            <w:gridSpan w:val="3"/>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38,374</w:t>
            </w:r>
          </w:p>
        </w:tc>
      </w:tr>
      <w:tr>
        <w:trPr>
          <w:trHeight w:val="224"/>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OREO</w:t>
            </w: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spacing w:after="0"/>
              <w:rPr>
                <w:sz w:val="19"/>
                <w:szCs w:val="19"/>
                <w:color w:val="auto"/>
              </w:rPr>
            </w:pPr>
          </w:p>
        </w:tc>
        <w:tc>
          <w:tcPr>
            <w:tcW w:w="4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w:t>
            </w:r>
          </w:p>
        </w:tc>
      </w:tr>
      <w:tr>
        <w:trPr>
          <w:trHeight w:val="217"/>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Pr>
          <w:p>
            <w:pPr>
              <w:spacing w:after="0"/>
              <w:rPr>
                <w:sz w:val="18"/>
                <w:szCs w:val="18"/>
                <w:color w:val="auto"/>
              </w:rPr>
            </w:pPr>
          </w:p>
        </w:tc>
        <w:tc>
          <w:tcPr>
            <w:tcW w:w="960" w:type="dxa"/>
            <w:vAlign w:val="bottom"/>
            <w:tcBorders>
              <w:top w:val="single" w:sz="8" w:color="auto"/>
              <w:bottom w:val="single" w:sz="8" w:color="auto"/>
            </w:tcBorders>
            <w:gridSpan w:val="2"/>
          </w:tcPr>
          <w:p>
            <w:pPr>
              <w:jc w:val="center"/>
              <w:ind w:right="74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980"/>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42,040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gridSpan w:val="2"/>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42,040</w:t>
            </w:r>
          </w:p>
        </w:tc>
      </w:tr>
      <w:tr>
        <w:trPr>
          <w:trHeight w:val="20"/>
        </w:trPr>
        <w:tc>
          <w:tcPr>
            <w:tcW w:w="4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and assumptions are used by the Company to estimate the fair values of the Company’s assets measured on a nonrecurring basis:</w:t>
      </w:r>
    </w:p>
    <w:p>
      <w:pPr>
        <w:spacing w:after="0" w:line="16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u w:val="single" w:color="auto"/>
          <w:color w:val="auto"/>
        </w:rPr>
        <w:t>Collateral dependent loans</w:t>
      </w:r>
      <w:r>
        <w:rPr>
          <w:rFonts w:ascii="Times New Roman" w:cs="Times New Roman" w:eastAsia="Times New Roman" w:hAnsi="Times New Roman"/>
          <w:sz w:val="18"/>
          <w:szCs w:val="18"/>
          <w:color w:val="auto"/>
        </w:rPr>
        <w:t>: Loans that do not share similar risk characteristics such that they can be evaluated on a collective (pool) basis are individually evaluated for credit losses each quarter taking into account the fair value of the collateral less estimated selling costs. Collateral may be real estate and/or business assets such as equipment, inventory and accounts receivable. The fair value of real estate is determined based on appraisals by qualified licensed appraisers. The fair value of the business assets is generally based on amounts reported on the business’s financial statements. Appraised and reported values may be adjusted based on changes in market conditions from the time of valuation and management’s knowledge of the client and the client’s business. Since not all valuation inputs are observable, these nonrecurring fair value determinations are classified as Level 3.</w:t>
      </w:r>
    </w:p>
    <w:p>
      <w:pPr>
        <w:spacing w:after="0" w:line="1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u w:val="single" w:color="auto"/>
          <w:color w:val="auto"/>
        </w:rPr>
        <w:t>Other real estate owned</w:t>
      </w:r>
      <w:r>
        <w:rPr>
          <w:rFonts w:ascii="Times New Roman" w:cs="Times New Roman" w:eastAsia="Times New Roman" w:hAnsi="Times New Roman"/>
          <w:sz w:val="18"/>
          <w:szCs w:val="18"/>
          <w:color w:val="auto"/>
        </w:rPr>
        <w:t>: OREO is comprised of commercial and residential real estate obtained in partial or total satisfaction of loan obligations. OREO acquired in settlement of indebtedness is recorded at the fair value of the real estate less estimated costs to sell. Subsequently, it may be necessary to record nonrecurring fair value adjustments for declines in fair value. Fair value, when recorded, is determined based on appraisals by qualified licensed appraisers and adjusted for management’s estimates of costs to sell. Accordingly, values for OREO are classified as Level 3.</w:t>
      </w:r>
    </w:p>
    <w:p>
      <w:pPr>
        <w:spacing w:after="0" w:line="131" w:lineRule="exact"/>
        <w:rPr>
          <w:sz w:val="20"/>
          <w:szCs w:val="20"/>
          <w:color w:val="auto"/>
        </w:rPr>
      </w:pPr>
    </w:p>
    <w:p>
      <w:pPr>
        <w:jc w:val="both"/>
        <w:spacing w:after="0" w:line="332" w:lineRule="auto"/>
        <w:rPr>
          <w:sz w:val="20"/>
          <w:szCs w:val="20"/>
          <w:color w:val="auto"/>
        </w:rPr>
      </w:pPr>
      <w:r>
        <w:rPr>
          <w:rFonts w:ascii="Times New Roman" w:cs="Times New Roman" w:eastAsia="Times New Roman" w:hAnsi="Times New Roman"/>
          <w:sz w:val="16"/>
          <w:szCs w:val="16"/>
          <w:color w:val="auto"/>
        </w:rPr>
        <w:t>The following table presents, as of December 31, 2025, OREO measured at fair value on a nonrecurring basis that was still held in the Consolidated Balance Sheets at period-end. There was no impairment recognized during 2024 of OREO assets still held in the Consolidated Balance Sheets at period end.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4"/>
        </w:trPr>
        <w:tc>
          <w:tcPr>
            <w:tcW w:w="9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Carrying amount prior to remeasurement</w:t>
            </w: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80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4,182</w:t>
            </w:r>
          </w:p>
        </w:tc>
        <w:tc>
          <w:tcPr>
            <w:tcW w:w="0" w:type="dxa"/>
            <w:vAlign w:val="bottom"/>
          </w:tcPr>
          <w:p>
            <w:pPr>
              <w:spacing w:after="0"/>
              <w:rPr>
                <w:sz w:val="1"/>
                <w:szCs w:val="1"/>
                <w:color w:val="auto"/>
              </w:rPr>
            </w:pPr>
          </w:p>
        </w:tc>
      </w:tr>
      <w:tr>
        <w:trPr>
          <w:trHeight w:val="224"/>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recognized in results of operations</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17"/>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0" w:type="dxa"/>
            <w:vAlign w:val="bottom"/>
          </w:tcPr>
          <w:p>
            <w:pPr>
              <w:spacing w:after="0"/>
              <w:rPr>
                <w:sz w:val="1"/>
                <w:szCs w:val="1"/>
                <w:color w:val="auto"/>
              </w:rPr>
            </w:pPr>
          </w:p>
        </w:tc>
      </w:tr>
      <w:tr>
        <w:trPr>
          <w:trHeight w:val="20"/>
        </w:trPr>
        <w:tc>
          <w:tcPr>
            <w:tcW w:w="9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u w:val="single" w:color="auto"/>
          <w:color w:val="auto"/>
        </w:rPr>
        <w:t>Mortgage servicing rights</w:t>
      </w:r>
      <w:r>
        <w:rPr>
          <w:rFonts w:ascii="Times New Roman" w:cs="Times New Roman" w:eastAsia="Times New Roman" w:hAnsi="Times New Roman"/>
          <w:sz w:val="18"/>
          <w:szCs w:val="18"/>
          <w:color w:val="auto"/>
        </w:rPr>
        <w:t>: The fair value of mortgage servicing rights is determined using an income approach with various assumptions including expected cash flows, market discount rates, prepayment speeds and servicing costs. Because these factors are not all observable and include management’s assumptions, mortgage servicing rights are classified within Level 3 of the fair value hierarchy. Mortgage servicing rights were carried at amortized cost at December 31, 2025 and December 31, 2024. See Note 8, “Mortgage Servicing Rights,” for information about the valuation adjustments to the Company’s mortgage servicing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Fair Value Measurements (continued)</w:t>
      </w:r>
    </w:p>
    <w:p>
      <w:pPr>
        <w:spacing w:after="0" w:line="26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following table presents information as of December 31, 2025 about significant unobservable inputs (Level 3) used in the valuation of assets measured at fair value on a nonrecurring basis:</w:t>
      </w:r>
    </w:p>
    <w:tbl>
      <w:tblPr>
        <w:tblLayout w:type="fixed"/>
        <w:tblInd w:w="0" w:type="dxa"/>
        <w:tblCellMar>
          <w:top w:w="0" w:type="dxa"/>
          <w:left w:w="0" w:type="dxa"/>
          <w:bottom w:w="0" w:type="dxa"/>
          <w:right w:w="0" w:type="dxa"/>
        </w:tblCellMar>
      </w:tblPr>
      <w:tr>
        <w:trPr>
          <w:trHeight w:val="145"/>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instrument</w:t>
            </w:r>
          </w:p>
        </w:tc>
        <w:tc>
          <w:tcPr>
            <w:tcW w:w="10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gridSpan w:val="2"/>
          </w:tcPr>
          <w:p>
            <w:pPr>
              <w:ind w:left="260"/>
              <w:spacing w:after="0" w:line="145" w:lineRule="exact"/>
              <w:rPr>
                <w:sz w:val="20"/>
                <w:szCs w:val="20"/>
                <w:color w:val="auto"/>
              </w:rPr>
            </w:pPr>
            <w:r>
              <w:rPr>
                <w:rFonts w:ascii="Times New Roman" w:cs="Times New Roman" w:eastAsia="Times New Roman" w:hAnsi="Times New Roman"/>
                <w:sz w:val="14"/>
                <w:szCs w:val="14"/>
                <w:b w:val="1"/>
                <w:bCs w:val="1"/>
                <w:color w:val="auto"/>
              </w:rPr>
              <w:t>Fair</w:t>
            </w:r>
          </w:p>
        </w:tc>
        <w:tc>
          <w:tcPr>
            <w:tcW w:w="224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00" w:type="dxa"/>
            <w:vAlign w:val="bottom"/>
            <w:vMerge w:val="restart"/>
          </w:tcPr>
          <w:p>
            <w:pPr>
              <w:spacing w:after="0"/>
              <w:rPr>
                <w:sz w:val="12"/>
                <w:szCs w:val="12"/>
                <w:color w:val="auto"/>
              </w:rPr>
            </w:pPr>
          </w:p>
        </w:tc>
        <w:tc>
          <w:tcPr>
            <w:tcW w:w="230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Significant</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Inputs</w:t>
            </w:r>
          </w:p>
        </w:tc>
        <w:tc>
          <w:tcPr>
            <w:tcW w:w="0" w:type="dxa"/>
            <w:vAlign w:val="bottom"/>
          </w:tcPr>
          <w:p>
            <w:pPr>
              <w:spacing w:after="0"/>
              <w:rPr>
                <w:sz w:val="1"/>
                <w:szCs w:val="1"/>
                <w:color w:val="auto"/>
              </w:rPr>
            </w:pPr>
          </w:p>
        </w:tc>
      </w:tr>
      <w:tr>
        <w:trPr>
          <w:trHeight w:val="190"/>
        </w:trPr>
        <w:tc>
          <w:tcPr>
            <w:tcW w:w="3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2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Unobservable Inputs</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6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Collateral dependent loans, net of allowance for</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4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Appraised value of</w:t>
            </w:r>
          </w:p>
        </w:tc>
        <w:tc>
          <w:tcPr>
            <w:tcW w:w="10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40" w:type="dxa"/>
            <w:vAlign w:val="bottom"/>
            <w:gridSpan w:val="2"/>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340" w:type="dxa"/>
            <w:vAlign w:val="bottom"/>
            <w:gridSpan w:val="2"/>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collateral less estimated costs</w:t>
            </w:r>
          </w:p>
        </w:tc>
        <w:tc>
          <w:tcPr>
            <w:tcW w:w="2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losses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87,680</w:t>
            </w:r>
          </w:p>
        </w:tc>
        <w:tc>
          <w:tcPr>
            <w:tcW w:w="100" w:type="dxa"/>
            <w:vAlign w:val="bottom"/>
            <w:shd w:val="clear" w:color="auto" w:fill="CCEEFF"/>
          </w:tcPr>
          <w:p>
            <w:pPr>
              <w:spacing w:after="0"/>
              <w:rPr>
                <w:sz w:val="20"/>
                <w:szCs w:val="20"/>
                <w:color w:val="auto"/>
              </w:rPr>
            </w:pPr>
          </w:p>
        </w:tc>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 sell</w:t>
            </w:r>
          </w:p>
        </w:tc>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costs to sell</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8"/>
                <w:szCs w:val="18"/>
                <w:color w:val="auto"/>
              </w:rPr>
              <w:t>Appraised value of property</w:t>
            </w: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OREO</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3,538</w:t>
            </w:r>
          </w:p>
        </w:tc>
        <w:tc>
          <w:tcPr>
            <w:tcW w:w="100" w:type="dxa"/>
            <w:vAlign w:val="bottom"/>
          </w:tcPr>
          <w:p>
            <w:pPr>
              <w:spacing w:after="0"/>
              <w:rPr>
                <w:sz w:val="20"/>
                <w:szCs w:val="20"/>
                <w:color w:val="auto"/>
              </w:rPr>
            </w:pPr>
          </w:p>
        </w:tc>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estimated costs to sell</w:t>
            </w:r>
          </w:p>
        </w:tc>
        <w:tc>
          <w:tcPr>
            <w:tcW w:w="2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Estimated costs to sell</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0" w:type="dxa"/>
            <w:vAlign w:val="bottom"/>
          </w:tcPr>
          <w:p>
            <w:pPr>
              <w:spacing w:after="0"/>
              <w:rPr>
                <w:sz w:val="1"/>
                <w:szCs w:val="1"/>
                <w:color w:val="auto"/>
              </w:rPr>
            </w:pPr>
          </w:p>
        </w:tc>
      </w:tr>
    </w:tbl>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input of 10% on impairments and OREO is based primarily on historical experience with respect to carrying and marketing costs.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Option</w:t>
      </w:r>
    </w:p>
    <w:p>
      <w:pPr>
        <w:spacing w:after="0" w:line="1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elected to measure all mortgage loans originated for sale at fair value under the fair value option. Electing to measure these assets at fair value reduces certain timing differences and better matches the changes in fair value of the loans with changes in the fair value of derivative instruments used to economically hedge them.</w:t>
      </w:r>
    </w:p>
    <w:p>
      <w:pPr>
        <w:spacing w:after="0" w:line="12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Net gains of $3,166 resulting from fair value changes of these mortgage loans were recorded in income during 2025, as compared to net losses of $3,309 in 2024 and net gains of $3,300 in 2023.</w:t>
      </w:r>
    </w:p>
    <w:p>
      <w:pPr>
        <w:spacing w:after="0" w:line="11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The Company’s valuation of mortgage loans held for sale incorporates an assumption for credit risk; however, given the short-term period that the Company holds these loans, valuation adjustments attributable to instrument-specific credit risk is nominal. Interest income on mortgage loans held for sale measured at fair value is accrued as it is earned based on contractual rates and is reflected in loan interest income on the Consolidated Statements of Income.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the differences between the fair value and the principal balance for mortgage loans held for sale measured at fair value as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and December 31, 2024:</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6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jc w:val="center"/>
              <w:ind w:right="360"/>
              <w:spacing w:after="0" w:line="133" w:lineRule="exact"/>
              <w:rPr>
                <w:sz w:val="20"/>
                <w:szCs w:val="20"/>
                <w:color w:val="auto"/>
              </w:rPr>
            </w:pPr>
            <w:r>
              <w:rPr>
                <w:rFonts w:ascii="Times New Roman" w:cs="Times New Roman" w:eastAsia="Times New Roman" w:hAnsi="Times New Roman"/>
                <w:sz w:val="14"/>
                <w:szCs w:val="14"/>
                <w:b w:val="1"/>
                <w:bCs w:val="1"/>
                <w:color w:val="auto"/>
                <w:w w:val="99"/>
              </w:rPr>
              <w:t>Unpaid</w:t>
            </w: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60"/>
              <w:spacing w:after="0" w:line="156"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260" w:type="dxa"/>
            <w:vAlign w:val="bottom"/>
          </w:tcPr>
          <w:p>
            <w:pPr>
              <w:spacing w:after="0"/>
              <w:rPr>
                <w:sz w:val="13"/>
                <w:szCs w:val="13"/>
                <w:color w:val="auto"/>
              </w:rPr>
            </w:pPr>
          </w:p>
        </w:tc>
        <w:tc>
          <w:tcPr>
            <w:tcW w:w="1280" w:type="dxa"/>
            <w:vAlign w:val="bottom"/>
            <w:gridSpan w:val="2"/>
          </w:tcPr>
          <w:p>
            <w:pPr>
              <w:jc w:val="center"/>
              <w:ind w:right="360"/>
              <w:spacing w:after="0" w:line="156"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260" w:type="dxa"/>
            <w:vAlign w:val="bottom"/>
          </w:tcPr>
          <w:p>
            <w:pPr>
              <w:spacing w:after="0"/>
              <w:rPr>
                <w:sz w:val="13"/>
                <w:szCs w:val="13"/>
                <w:color w:val="auto"/>
              </w:rPr>
            </w:pPr>
          </w:p>
        </w:tc>
        <w:tc>
          <w:tcPr>
            <w:tcW w:w="1180" w:type="dxa"/>
            <w:vAlign w:val="bottom"/>
            <w:vMerge w:val="restart"/>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Difference</w:t>
            </w:r>
          </w:p>
        </w:tc>
        <w:tc>
          <w:tcPr>
            <w:tcW w:w="0" w:type="dxa"/>
            <w:vAlign w:val="bottom"/>
          </w:tcPr>
          <w:p>
            <w:pPr>
              <w:spacing w:after="0"/>
              <w:rPr>
                <w:sz w:val="1"/>
                <w:szCs w:val="1"/>
                <w:color w:val="auto"/>
              </w:rPr>
            </w:pPr>
          </w:p>
        </w:tc>
      </w:tr>
      <w:tr>
        <w:trPr>
          <w:trHeight w:val="191"/>
        </w:trPr>
        <w:tc>
          <w:tcPr>
            <w:tcW w:w="6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loans held for sale measured at fair value</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265,959</w:t>
            </w:r>
          </w:p>
        </w:tc>
        <w:tc>
          <w:tcPr>
            <w:tcW w:w="10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260,841</w:t>
            </w:r>
          </w:p>
        </w:tc>
        <w:tc>
          <w:tcPr>
            <w:tcW w:w="10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5,118</w:t>
            </w:r>
          </w:p>
        </w:tc>
        <w:tc>
          <w:tcPr>
            <w:tcW w:w="0" w:type="dxa"/>
            <w:vAlign w:val="bottom"/>
          </w:tcPr>
          <w:p>
            <w:pPr>
              <w:spacing w:after="0"/>
              <w:rPr>
                <w:sz w:val="1"/>
                <w:szCs w:val="1"/>
                <w:color w:val="auto"/>
              </w:rPr>
            </w:pPr>
          </w:p>
        </w:tc>
      </w:tr>
      <w:tr>
        <w:trPr>
          <w:trHeight w:val="263"/>
        </w:trPr>
        <w:tc>
          <w:tcPr>
            <w:tcW w:w="67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loans held for sale measured at fair value</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Fair Value Measurements (continued)</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ectPr>
          <w:pgSz w:w="11900" w:h="16838" w:orient="portrait"/>
          <w:cols w:equalWidth="0" w:num="1">
            <w:col w:w="11240"/>
          </w:cols>
          <w:pgMar w:left="320" w:top="358" w:right="339" w:bottom="1440" w:gutter="0" w:footer="0" w:header="0"/>
        </w:sectPr>
      </w:pPr>
    </w:p>
    <w:p>
      <w:pPr>
        <w:spacing w:after="0" w:line="163"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The carrying amounts and estimated fair values of the Company’s financial instruments, including at fair value on a recurring basis or nonrecurring basis, were</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right"/>
        <w:spacing w:after="0" w:line="263" w:lineRule="auto"/>
        <w:rPr>
          <w:sz w:val="20"/>
          <w:szCs w:val="20"/>
          <w:color w:val="auto"/>
        </w:rPr>
      </w:pPr>
      <w:r>
        <w:rPr>
          <w:rFonts w:ascii="Times New Roman" w:cs="Times New Roman" w:eastAsia="Times New Roman" w:hAnsi="Times New Roman"/>
          <w:sz w:val="18"/>
          <w:szCs w:val="18"/>
          <w:color w:val="auto"/>
        </w:rPr>
        <w:t>those assets and liabilities that are not measured and reported as    follows    as    of    the    dates    presented:</w:t>
      </w:r>
    </w:p>
    <w:p>
      <w:pPr>
        <w:spacing w:after="0" w:line="1" w:lineRule="exact"/>
        <w:rPr>
          <w:sz w:val="20"/>
          <w:szCs w:val="20"/>
          <w:color w:val="auto"/>
        </w:rPr>
      </w:pPr>
    </w:p>
    <w:p>
      <w:pPr>
        <w:sectPr>
          <w:pgSz w:w="11900" w:h="16838" w:orient="portrait"/>
          <w:cols w:equalWidth="0" w:num="2">
            <w:col w:w="6900" w:space="40"/>
            <w:col w:w="4300"/>
          </w:cols>
          <w:pgMar w:left="320" w:top="358" w:right="339" w:bottom="1440" w:gutter="0" w:footer="0" w:header="0"/>
          <w:type w:val="continuous"/>
        </w:sectPr>
      </w:pPr>
    </w:p>
    <w:tbl>
      <w:tblPr>
        <w:tblLayout w:type="fixed"/>
        <w:tblInd w:w="0" w:type="dxa"/>
        <w:tblCellMar>
          <w:top w:w="0" w:type="dxa"/>
          <w:left w:w="0" w:type="dxa"/>
          <w:bottom w:w="0" w:type="dxa"/>
          <w:right w:w="0" w:type="dxa"/>
        </w:tblCellMar>
      </w:tblPr>
      <w:tr>
        <w:trPr>
          <w:trHeight w:val="185"/>
        </w:trPr>
        <w:tc>
          <w:tcPr>
            <w:tcW w:w="4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vMerge w:val="restart"/>
          </w:tcPr>
          <w:p>
            <w:pPr>
              <w:jc w:val="center"/>
              <w:ind w:right="320"/>
              <w:spacing w:after="0" w:line="15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4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9"/>
                <w:szCs w:val="9"/>
                <w:color w:val="auto"/>
              </w:rPr>
            </w:pPr>
          </w:p>
        </w:tc>
        <w:tc>
          <w:tcPr>
            <w:tcW w:w="10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9"/>
                <w:szCs w:val="9"/>
                <w:color w:val="auto"/>
              </w:rPr>
            </w:pP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9"/>
                <w:szCs w:val="9"/>
                <w:color w:val="auto"/>
              </w:rPr>
            </w:pPr>
          </w:p>
        </w:tc>
        <w:tc>
          <w:tcPr>
            <w:tcW w:w="98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4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1,070,718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1,070,718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1,070,718</w:t>
            </w:r>
          </w:p>
        </w:tc>
        <w:tc>
          <w:tcPr>
            <w:tcW w:w="0" w:type="dxa"/>
            <w:vAlign w:val="bottom"/>
          </w:tcPr>
          <w:p>
            <w:pPr>
              <w:spacing w:after="0"/>
              <w:rPr>
                <w:sz w:val="1"/>
                <w:szCs w:val="1"/>
                <w:color w:val="auto"/>
              </w:rPr>
            </w:pPr>
          </w:p>
        </w:tc>
      </w:tr>
      <w:tr>
        <w:trPr>
          <w:trHeight w:val="224"/>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held to maturity</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1,030,073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961,870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961,870</w:t>
            </w:r>
          </w:p>
        </w:tc>
        <w:tc>
          <w:tcPr>
            <w:tcW w:w="0" w:type="dxa"/>
            <w:vAlign w:val="bottom"/>
          </w:tcPr>
          <w:p>
            <w:pPr>
              <w:spacing w:after="0"/>
              <w:rPr>
                <w:sz w:val="1"/>
                <w:szCs w:val="1"/>
                <w:color w:val="auto"/>
              </w:rPr>
            </w:pPr>
          </w:p>
        </w:tc>
      </w:tr>
      <w:tr>
        <w:trPr>
          <w:trHeight w:val="224"/>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2,560,818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2,560,818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2,560,818</w:t>
            </w:r>
          </w:p>
        </w:tc>
        <w:tc>
          <w:tcPr>
            <w:tcW w:w="0" w:type="dxa"/>
            <w:vAlign w:val="bottom"/>
          </w:tcPr>
          <w:p>
            <w:pPr>
              <w:spacing w:after="0"/>
              <w:rPr>
                <w:sz w:val="1"/>
                <w:szCs w:val="1"/>
                <w:color w:val="auto"/>
              </w:rPr>
            </w:pPr>
          </w:p>
        </w:tc>
      </w:tr>
      <w:tr>
        <w:trPr>
          <w:trHeight w:val="224"/>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held for sale</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265,959</w:t>
            </w:r>
          </w:p>
        </w:tc>
        <w:tc>
          <w:tcPr>
            <w:tcW w:w="0" w:type="dxa"/>
            <w:vAlign w:val="bottom"/>
          </w:tcPr>
          <w:p>
            <w:pPr>
              <w:spacing w:after="0"/>
              <w:rPr>
                <w:sz w:val="1"/>
                <w:szCs w:val="1"/>
                <w:color w:val="auto"/>
              </w:rPr>
            </w:pPr>
          </w:p>
        </w:tc>
      </w:tr>
      <w:tr>
        <w:trPr>
          <w:trHeight w:val="224"/>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net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18,753,084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18,689,957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18,689,957</w:t>
            </w:r>
          </w:p>
        </w:tc>
        <w:tc>
          <w:tcPr>
            <w:tcW w:w="0" w:type="dxa"/>
            <w:vAlign w:val="bottom"/>
          </w:tcPr>
          <w:p>
            <w:pPr>
              <w:spacing w:after="0"/>
              <w:rPr>
                <w:sz w:val="1"/>
                <w:szCs w:val="1"/>
                <w:color w:val="auto"/>
              </w:rPr>
            </w:pPr>
          </w:p>
        </w:tc>
      </w:tr>
      <w:tr>
        <w:trPr>
          <w:trHeight w:val="224"/>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servicing rights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80,537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80,537</w:t>
            </w:r>
          </w:p>
        </w:tc>
        <w:tc>
          <w:tcPr>
            <w:tcW w:w="0" w:type="dxa"/>
            <w:vAlign w:val="bottom"/>
          </w:tcPr>
          <w:p>
            <w:pPr>
              <w:spacing w:after="0"/>
              <w:rPr>
                <w:sz w:val="1"/>
                <w:szCs w:val="1"/>
                <w:color w:val="auto"/>
              </w:rPr>
            </w:pPr>
          </w:p>
        </w:tc>
      </w:tr>
      <w:tr>
        <w:trPr>
          <w:trHeight w:val="224"/>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47,098</w:t>
            </w:r>
          </w:p>
        </w:tc>
        <w:tc>
          <w:tcPr>
            <w:tcW w:w="0" w:type="dxa"/>
            <w:vAlign w:val="bottom"/>
          </w:tcPr>
          <w:p>
            <w:pPr>
              <w:spacing w:after="0"/>
              <w:rPr>
                <w:sz w:val="1"/>
                <w:szCs w:val="1"/>
                <w:color w:val="auto"/>
              </w:rPr>
            </w:pPr>
          </w:p>
        </w:tc>
      </w:tr>
      <w:tr>
        <w:trPr>
          <w:trHeight w:val="224"/>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21,473,070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21,465,168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21,465,168</w:t>
            </w:r>
          </w:p>
        </w:tc>
        <w:tc>
          <w:tcPr>
            <w:tcW w:w="0" w:type="dxa"/>
            <w:vAlign w:val="bottom"/>
          </w:tcPr>
          <w:p>
            <w:pPr>
              <w:spacing w:after="0"/>
              <w:rPr>
                <w:sz w:val="1"/>
                <w:szCs w:val="1"/>
                <w:color w:val="auto"/>
              </w:rPr>
            </w:pPr>
          </w:p>
        </w:tc>
      </w:tr>
      <w:tr>
        <w:trPr>
          <w:trHeight w:val="224"/>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borrowings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555,774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555,774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555,774</w:t>
            </w:r>
          </w:p>
        </w:tc>
        <w:tc>
          <w:tcPr>
            <w:tcW w:w="0" w:type="dxa"/>
            <w:vAlign w:val="bottom"/>
          </w:tcPr>
          <w:p>
            <w:pPr>
              <w:spacing w:after="0"/>
              <w:rPr>
                <w:sz w:val="1"/>
                <w:szCs w:val="1"/>
                <w:color w:val="auto"/>
              </w:rPr>
            </w:pPr>
          </w:p>
        </w:tc>
      </w:tr>
      <w:tr>
        <w:trPr>
          <w:trHeight w:val="224"/>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Junior subordinated debentures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126,976</w:t>
            </w:r>
          </w:p>
        </w:tc>
        <w:tc>
          <w:tcPr>
            <w:tcW w:w="0" w:type="dxa"/>
            <w:vAlign w:val="bottom"/>
          </w:tcPr>
          <w:p>
            <w:pPr>
              <w:spacing w:after="0"/>
              <w:rPr>
                <w:sz w:val="1"/>
                <w:szCs w:val="1"/>
                <w:color w:val="auto"/>
              </w:rPr>
            </w:pPr>
          </w:p>
        </w:tc>
      </w:tr>
      <w:tr>
        <w:trPr>
          <w:trHeight w:val="224"/>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Subordinated notes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359,124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352,616</w:t>
            </w:r>
          </w:p>
        </w:tc>
        <w:tc>
          <w:tcPr>
            <w:tcW w:w="0" w:type="dxa"/>
            <w:vAlign w:val="bottom"/>
          </w:tcPr>
          <w:p>
            <w:pPr>
              <w:spacing w:after="0"/>
              <w:rPr>
                <w:sz w:val="1"/>
                <w:szCs w:val="1"/>
                <w:color w:val="auto"/>
              </w:rPr>
            </w:pPr>
          </w:p>
        </w:tc>
      </w:tr>
      <w:tr>
        <w:trPr>
          <w:trHeight w:val="224"/>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41,484</w:t>
            </w:r>
          </w:p>
        </w:tc>
        <w:tc>
          <w:tcPr>
            <w:tcW w:w="0" w:type="dxa"/>
            <w:vAlign w:val="bottom"/>
          </w:tcPr>
          <w:p>
            <w:pPr>
              <w:spacing w:after="0"/>
              <w:rPr>
                <w:sz w:val="1"/>
                <w:szCs w:val="1"/>
                <w:color w:val="auto"/>
              </w:rPr>
            </w:pPr>
          </w:p>
        </w:tc>
      </w:tr>
      <w:tr>
        <w:trPr>
          <w:trHeight w:val="450"/>
        </w:trPr>
        <w:tc>
          <w:tcPr>
            <w:tcW w:w="4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vMerge w:val="restart"/>
          </w:tcPr>
          <w:p>
            <w:pPr>
              <w:jc w:val="center"/>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2"/>
        </w:trPr>
        <w:tc>
          <w:tcPr>
            <w:tcW w:w="4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9"/>
                <w:szCs w:val="9"/>
                <w:color w:val="auto"/>
              </w:rPr>
            </w:pPr>
          </w:p>
        </w:tc>
        <w:tc>
          <w:tcPr>
            <w:tcW w:w="10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9"/>
                <w:szCs w:val="9"/>
                <w:color w:val="auto"/>
              </w:rPr>
            </w:pP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9"/>
                <w:szCs w:val="9"/>
                <w:color w:val="auto"/>
              </w:rPr>
            </w:pPr>
          </w:p>
        </w:tc>
        <w:tc>
          <w:tcPr>
            <w:tcW w:w="98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4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1,092,032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1,092,032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1,092,032</w:t>
            </w:r>
          </w:p>
        </w:tc>
        <w:tc>
          <w:tcPr>
            <w:tcW w:w="0" w:type="dxa"/>
            <w:vAlign w:val="bottom"/>
          </w:tcPr>
          <w:p>
            <w:pPr>
              <w:spacing w:after="0"/>
              <w:rPr>
                <w:sz w:val="1"/>
                <w:szCs w:val="1"/>
                <w:color w:val="auto"/>
              </w:rPr>
            </w:pPr>
          </w:p>
        </w:tc>
      </w:tr>
      <w:tr>
        <w:trPr>
          <w:trHeight w:val="224"/>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held to maturity</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1,126,112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1,002,544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1,002,544</w:t>
            </w:r>
          </w:p>
        </w:tc>
        <w:tc>
          <w:tcPr>
            <w:tcW w:w="0" w:type="dxa"/>
            <w:vAlign w:val="bottom"/>
          </w:tcPr>
          <w:p>
            <w:pPr>
              <w:spacing w:after="0"/>
              <w:rPr>
                <w:sz w:val="1"/>
                <w:szCs w:val="1"/>
                <w:color w:val="auto"/>
              </w:rPr>
            </w:pPr>
          </w:p>
        </w:tc>
      </w:tr>
      <w:tr>
        <w:trPr>
          <w:trHeight w:val="224"/>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831,013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831,013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831,013</w:t>
            </w:r>
          </w:p>
        </w:tc>
        <w:tc>
          <w:tcPr>
            <w:tcW w:w="0" w:type="dxa"/>
            <w:vAlign w:val="bottom"/>
          </w:tcPr>
          <w:p>
            <w:pPr>
              <w:spacing w:after="0"/>
              <w:rPr>
                <w:sz w:val="1"/>
                <w:szCs w:val="1"/>
                <w:color w:val="auto"/>
              </w:rPr>
            </w:pPr>
          </w:p>
        </w:tc>
      </w:tr>
      <w:tr>
        <w:trPr>
          <w:trHeight w:val="224"/>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held for sale</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246,171</w:t>
            </w:r>
          </w:p>
        </w:tc>
        <w:tc>
          <w:tcPr>
            <w:tcW w:w="0" w:type="dxa"/>
            <w:vAlign w:val="bottom"/>
          </w:tcPr>
          <w:p>
            <w:pPr>
              <w:spacing w:after="0"/>
              <w:rPr>
                <w:sz w:val="1"/>
                <w:szCs w:val="1"/>
                <w:color w:val="auto"/>
              </w:rPr>
            </w:pPr>
          </w:p>
        </w:tc>
      </w:tr>
      <w:tr>
        <w:trPr>
          <w:trHeight w:val="224"/>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net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12,683,264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12,340,638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12,340,638</w:t>
            </w:r>
          </w:p>
        </w:tc>
        <w:tc>
          <w:tcPr>
            <w:tcW w:w="0" w:type="dxa"/>
            <w:vAlign w:val="bottom"/>
          </w:tcPr>
          <w:p>
            <w:pPr>
              <w:spacing w:after="0"/>
              <w:rPr>
                <w:sz w:val="1"/>
                <w:szCs w:val="1"/>
                <w:color w:val="auto"/>
              </w:rPr>
            </w:pPr>
          </w:p>
        </w:tc>
      </w:tr>
      <w:tr>
        <w:trPr>
          <w:trHeight w:val="224"/>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servicing rights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96,290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96,290</w:t>
            </w:r>
          </w:p>
        </w:tc>
        <w:tc>
          <w:tcPr>
            <w:tcW w:w="0" w:type="dxa"/>
            <w:vAlign w:val="bottom"/>
          </w:tcPr>
          <w:p>
            <w:pPr>
              <w:spacing w:after="0"/>
              <w:rPr>
                <w:sz w:val="1"/>
                <w:szCs w:val="1"/>
                <w:color w:val="auto"/>
              </w:rPr>
            </w:pPr>
          </w:p>
        </w:tc>
      </w:tr>
      <w:tr>
        <w:trPr>
          <w:trHeight w:val="224"/>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38,954</w:t>
            </w:r>
          </w:p>
        </w:tc>
        <w:tc>
          <w:tcPr>
            <w:tcW w:w="0" w:type="dxa"/>
            <w:vAlign w:val="bottom"/>
          </w:tcPr>
          <w:p>
            <w:pPr>
              <w:spacing w:after="0"/>
              <w:rPr>
                <w:sz w:val="1"/>
                <w:szCs w:val="1"/>
                <w:color w:val="auto"/>
              </w:rPr>
            </w:pPr>
          </w:p>
        </w:tc>
      </w:tr>
      <w:tr>
        <w:trPr>
          <w:trHeight w:val="224"/>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14,572,612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14,570,304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14,570,304</w:t>
            </w:r>
          </w:p>
        </w:tc>
        <w:tc>
          <w:tcPr>
            <w:tcW w:w="0" w:type="dxa"/>
            <w:vAlign w:val="bottom"/>
          </w:tcPr>
          <w:p>
            <w:pPr>
              <w:spacing w:after="0"/>
              <w:rPr>
                <w:sz w:val="1"/>
                <w:szCs w:val="1"/>
                <w:color w:val="auto"/>
              </w:rPr>
            </w:pPr>
          </w:p>
        </w:tc>
      </w:tr>
      <w:tr>
        <w:trPr>
          <w:trHeight w:val="224"/>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borrowings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108,018</w:t>
            </w:r>
          </w:p>
        </w:tc>
        <w:tc>
          <w:tcPr>
            <w:tcW w:w="0" w:type="dxa"/>
            <w:vAlign w:val="bottom"/>
          </w:tcPr>
          <w:p>
            <w:pPr>
              <w:spacing w:after="0"/>
              <w:rPr>
                <w:sz w:val="1"/>
                <w:szCs w:val="1"/>
                <w:color w:val="auto"/>
              </w:rPr>
            </w:pPr>
          </w:p>
        </w:tc>
      </w:tr>
      <w:tr>
        <w:trPr>
          <w:trHeight w:val="224"/>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Junior subordinated debentures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100,668</w:t>
            </w:r>
          </w:p>
        </w:tc>
        <w:tc>
          <w:tcPr>
            <w:tcW w:w="0" w:type="dxa"/>
            <w:vAlign w:val="bottom"/>
          </w:tcPr>
          <w:p>
            <w:pPr>
              <w:spacing w:after="0"/>
              <w:rPr>
                <w:sz w:val="1"/>
                <w:szCs w:val="1"/>
                <w:color w:val="auto"/>
              </w:rPr>
            </w:pPr>
          </w:p>
        </w:tc>
      </w:tr>
      <w:tr>
        <w:trPr>
          <w:trHeight w:val="224"/>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Subordinated notes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295,868</w:t>
            </w:r>
          </w:p>
        </w:tc>
        <w:tc>
          <w:tcPr>
            <w:tcW w:w="0" w:type="dxa"/>
            <w:vAlign w:val="bottom"/>
          </w:tcPr>
          <w:p>
            <w:pPr>
              <w:spacing w:after="0"/>
              <w:rPr>
                <w:sz w:val="1"/>
                <w:szCs w:val="1"/>
                <w:color w:val="auto"/>
              </w:rPr>
            </w:pPr>
          </w:p>
        </w:tc>
      </w:tr>
      <w:tr>
        <w:trPr>
          <w:trHeight w:val="224"/>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type w:val="continuous"/>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Other Comprehensive Income (Loss)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components of other comprehensive income (loss), net of tax, were as follows: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220" w:type="dxa"/>
            <w:vAlign w:val="bottom"/>
          </w:tcPr>
          <w:p>
            <w:pPr>
              <w:spacing w:after="0"/>
              <w:rPr>
                <w:sz w:val="13"/>
                <w:szCs w:val="13"/>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Tax Expense</w:t>
            </w:r>
          </w:p>
        </w:tc>
        <w:tc>
          <w:tcPr>
            <w:tcW w:w="260" w:type="dxa"/>
            <w:vAlign w:val="bottom"/>
          </w:tcPr>
          <w:p>
            <w:pPr>
              <w:spacing w:after="0"/>
              <w:rPr>
                <w:sz w:val="13"/>
                <w:szCs w:val="13"/>
                <w:color w:val="auto"/>
              </w:rPr>
            </w:pPr>
          </w:p>
        </w:tc>
        <w:tc>
          <w:tcPr>
            <w:tcW w:w="118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Net of Tax</w:t>
            </w:r>
          </w:p>
        </w:tc>
        <w:tc>
          <w:tcPr>
            <w:tcW w:w="0" w:type="dxa"/>
            <w:vAlign w:val="bottom"/>
          </w:tcPr>
          <w:p>
            <w:pPr>
              <w:spacing w:after="0"/>
              <w:rPr>
                <w:sz w:val="1"/>
                <w:szCs w:val="1"/>
                <w:color w:val="auto"/>
              </w:rPr>
            </w:pPr>
          </w:p>
        </w:tc>
      </w:tr>
      <w:tr>
        <w:trPr>
          <w:trHeight w:val="190"/>
        </w:trPr>
        <w:tc>
          <w:tcPr>
            <w:tcW w:w="6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(Benefit)</w:t>
            </w:r>
          </w:p>
        </w:tc>
        <w:tc>
          <w:tcPr>
            <w:tcW w:w="2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holding gains on securities</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47,347</w:t>
            </w:r>
          </w:p>
        </w:tc>
        <w:tc>
          <w:tcPr>
            <w:tcW w:w="0" w:type="dxa"/>
            <w:vAlign w:val="bottom"/>
          </w:tcPr>
          <w:p>
            <w:pPr>
              <w:spacing w:after="0"/>
              <w:rPr>
                <w:sz w:val="1"/>
                <w:szCs w:val="1"/>
                <w:color w:val="auto"/>
              </w:rPr>
            </w:pPr>
          </w:p>
        </w:tc>
      </w:tr>
      <w:tr>
        <w:trPr>
          <w:trHeight w:val="171"/>
        </w:trPr>
        <w:tc>
          <w:tcPr>
            <w:tcW w:w="6720" w:type="dxa"/>
            <w:vAlign w:val="bottom"/>
          </w:tcPr>
          <w:p>
            <w:pPr>
              <w:ind w:left="340"/>
              <w:spacing w:after="0" w:line="171" w:lineRule="exact"/>
              <w:rPr>
                <w:sz w:val="20"/>
                <w:szCs w:val="20"/>
                <w:color w:val="auto"/>
              </w:rPr>
            </w:pPr>
            <w:r>
              <w:rPr>
                <w:rFonts w:ascii="Times New Roman" w:cs="Times New Roman" w:eastAsia="Times New Roman" w:hAnsi="Times New Roman"/>
                <w:sz w:val="18"/>
                <w:szCs w:val="18"/>
                <w:color w:val="auto"/>
                <w:w w:val="98"/>
              </w:rPr>
              <w:t>Amortization of unrealized holding losses on securities transferred to the held to maturity</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category</w:t>
            </w: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11,571</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8,610</w:t>
            </w:r>
          </w:p>
        </w:tc>
        <w:tc>
          <w:tcPr>
            <w:tcW w:w="0" w:type="dxa"/>
            <w:vAlign w:val="bottom"/>
          </w:tcPr>
          <w:p>
            <w:pPr>
              <w:spacing w:after="0"/>
              <w:rPr>
                <w:sz w:val="1"/>
                <w:szCs w:val="1"/>
                <w:color w:val="auto"/>
              </w:rPr>
            </w:pPr>
          </w:p>
        </w:tc>
      </w:tr>
      <w:tr>
        <w:trPr>
          <w:trHeight w:val="21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securities available for sale</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74,808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55,957</w:t>
            </w:r>
          </w:p>
        </w:tc>
        <w:tc>
          <w:tcPr>
            <w:tcW w:w="0" w:type="dxa"/>
            <w:vAlign w:val="bottom"/>
          </w:tcPr>
          <w:p>
            <w:pPr>
              <w:spacing w:after="0"/>
              <w:rPr>
                <w:sz w:val="1"/>
                <w:szCs w:val="1"/>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holding losses on derivative instruments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(6,960)</w:t>
            </w:r>
          </w:p>
        </w:tc>
        <w:tc>
          <w:tcPr>
            <w:tcW w:w="0" w:type="dxa"/>
            <w:vAlign w:val="bottom"/>
          </w:tcPr>
          <w:p>
            <w:pPr>
              <w:spacing w:after="0"/>
              <w:rPr>
                <w:sz w:val="1"/>
                <w:szCs w:val="1"/>
                <w:color w:val="auto"/>
              </w:rPr>
            </w:pPr>
          </w:p>
        </w:tc>
      </w:tr>
      <w:tr>
        <w:trPr>
          <w:trHeight w:val="224"/>
        </w:trPr>
        <w:tc>
          <w:tcPr>
            <w:tcW w:w="6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Amounts reclassified into earnings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0" w:type="dxa"/>
            <w:vAlign w:val="bottom"/>
          </w:tcPr>
          <w:p>
            <w:pPr>
              <w:spacing w:after="0"/>
              <w:rPr>
                <w:sz w:val="1"/>
                <w:szCs w:val="1"/>
                <w:color w:val="auto"/>
              </w:rPr>
            </w:pPr>
          </w:p>
        </w:tc>
      </w:tr>
      <w:tr>
        <w:trPr>
          <w:trHeight w:val="21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derivative instruments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w:t>
            </w:r>
          </w:p>
        </w:tc>
        <w:tc>
          <w:tcPr>
            <w:tcW w:w="0" w:type="dxa"/>
            <w:vAlign w:val="bottom"/>
          </w:tcPr>
          <w:p>
            <w:pPr>
              <w:spacing w:after="0"/>
              <w:rPr>
                <w:sz w:val="1"/>
                <w:szCs w:val="1"/>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Defined benefit pension and post-retirement benefit plans: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gain arising during the period</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24"/>
        </w:trPr>
        <w:tc>
          <w:tcPr>
            <w:tcW w:w="6720" w:type="dxa"/>
            <w:vAlign w:val="bottom"/>
            <w:tcBorders>
              <w:bottom w:val="single" w:sz="8" w:color="CCEEFF"/>
            </w:tcBorders>
          </w:tcPr>
          <w:p>
            <w:pPr>
              <w:ind w:left="340"/>
              <w:spacing w:after="0" w:line="224" w:lineRule="exact"/>
              <w:rPr>
                <w:sz w:val="20"/>
                <w:szCs w:val="20"/>
                <w:color w:val="auto"/>
              </w:rPr>
            </w:pPr>
            <w:r>
              <w:rPr>
                <w:rFonts w:ascii="Times New Roman" w:cs="Times New Roman" w:eastAsia="Times New Roman" w:hAnsi="Times New Roman"/>
                <w:sz w:val="18"/>
                <w:szCs w:val="18"/>
                <w:color w:val="auto"/>
              </w:rPr>
              <w:t>Amortization of net actuarial loss recognized in net periodic pension cost</w:t>
            </w:r>
            <w:r>
              <w:rPr>
                <w:rFonts w:ascii="Times New Roman" w:cs="Times New Roman" w:eastAsia="Times New Roman" w:hAnsi="Times New Roman"/>
                <w:sz w:val="22"/>
                <w:szCs w:val="22"/>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1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defined benefit pension and post-retirement benefit plans</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1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70,669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17,793</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52,876</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72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holding gains on securities</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0" w:type="dxa"/>
            <w:vAlign w:val="bottom"/>
          </w:tcPr>
          <w:p>
            <w:pPr>
              <w:spacing w:after="0"/>
              <w:rPr>
                <w:sz w:val="1"/>
                <w:szCs w:val="1"/>
                <w:color w:val="auto"/>
              </w:rPr>
            </w:pPr>
          </w:p>
        </w:tc>
      </w:tr>
      <w:tr>
        <w:trPr>
          <w:trHeight w:val="171"/>
        </w:trPr>
        <w:tc>
          <w:tcPr>
            <w:tcW w:w="6720" w:type="dxa"/>
            <w:vAlign w:val="bottom"/>
          </w:tcPr>
          <w:p>
            <w:pPr>
              <w:ind w:left="340"/>
              <w:spacing w:after="0" w:line="171" w:lineRule="exact"/>
              <w:rPr>
                <w:sz w:val="20"/>
                <w:szCs w:val="20"/>
                <w:color w:val="auto"/>
              </w:rPr>
            </w:pPr>
            <w:r>
              <w:rPr>
                <w:rFonts w:ascii="Times New Roman" w:cs="Times New Roman" w:eastAsia="Times New Roman" w:hAnsi="Times New Roman"/>
                <w:sz w:val="18"/>
                <w:szCs w:val="18"/>
                <w:color w:val="auto"/>
                <w:w w:val="98"/>
              </w:rPr>
              <w:t>Amortization of unrealized holding losses on securities transferred to the held to maturity</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category</w:t>
            </w: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12,731</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9,476</w:t>
            </w:r>
          </w:p>
        </w:tc>
        <w:tc>
          <w:tcPr>
            <w:tcW w:w="0" w:type="dxa"/>
            <w:vAlign w:val="bottom"/>
          </w:tcPr>
          <w:p>
            <w:pPr>
              <w:spacing w:after="0"/>
              <w:rPr>
                <w:sz w:val="1"/>
                <w:szCs w:val="1"/>
                <w:color w:val="auto"/>
              </w:rPr>
            </w:pPr>
          </w:p>
        </w:tc>
      </w:tr>
      <w:tr>
        <w:trPr>
          <w:trHeight w:val="21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securities available for sale</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10,550</w:t>
            </w:r>
          </w:p>
        </w:tc>
        <w:tc>
          <w:tcPr>
            <w:tcW w:w="0" w:type="dxa"/>
            <w:vAlign w:val="bottom"/>
          </w:tcPr>
          <w:p>
            <w:pPr>
              <w:spacing w:after="0"/>
              <w:rPr>
                <w:sz w:val="1"/>
                <w:szCs w:val="1"/>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holding losses on derivative instruments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0" w:type="dxa"/>
            <w:vAlign w:val="bottom"/>
          </w:tcPr>
          <w:p>
            <w:pPr>
              <w:spacing w:after="0"/>
              <w:rPr>
                <w:sz w:val="1"/>
                <w:szCs w:val="1"/>
                <w:color w:val="auto"/>
              </w:rPr>
            </w:pPr>
          </w:p>
        </w:tc>
      </w:tr>
      <w:tr>
        <w:trPr>
          <w:trHeight w:val="224"/>
        </w:trPr>
        <w:tc>
          <w:tcPr>
            <w:tcW w:w="6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Amounts reclassified into earnings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0" w:type="dxa"/>
            <w:vAlign w:val="bottom"/>
          </w:tcPr>
          <w:p>
            <w:pPr>
              <w:spacing w:after="0"/>
              <w:rPr>
                <w:sz w:val="1"/>
                <w:szCs w:val="1"/>
                <w:color w:val="auto"/>
              </w:rPr>
            </w:pPr>
          </w:p>
        </w:tc>
      </w:tr>
      <w:tr>
        <w:trPr>
          <w:trHeight w:val="21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derivative instruments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Defined benefit pension and post-retirement benefit plans: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gain arising during the period</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24"/>
        </w:trPr>
        <w:tc>
          <w:tcPr>
            <w:tcW w:w="6720" w:type="dxa"/>
            <w:vAlign w:val="bottom"/>
            <w:tcBorders>
              <w:bottom w:val="single" w:sz="8" w:color="CCEEFF"/>
            </w:tcBorders>
          </w:tcPr>
          <w:p>
            <w:pPr>
              <w:ind w:left="340"/>
              <w:spacing w:after="0" w:line="224" w:lineRule="exact"/>
              <w:rPr>
                <w:sz w:val="20"/>
                <w:szCs w:val="20"/>
                <w:color w:val="auto"/>
              </w:rPr>
            </w:pPr>
            <w:r>
              <w:rPr>
                <w:rFonts w:ascii="Times New Roman" w:cs="Times New Roman" w:eastAsia="Times New Roman" w:hAnsi="Times New Roman"/>
                <w:sz w:val="18"/>
                <w:szCs w:val="18"/>
                <w:color w:val="auto"/>
              </w:rPr>
              <w:t>Amortization of net actuarial loss recognized in net periodic pension cost</w:t>
            </w:r>
            <w:r>
              <w:rPr>
                <w:rFonts w:ascii="Times New Roman" w:cs="Times New Roman" w:eastAsia="Times New Roman" w:hAnsi="Times New Roman"/>
                <w:sz w:val="22"/>
                <w:szCs w:val="22"/>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1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defined benefit pension and post-retirement benefit plans</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1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11,648</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Other Comprehensive Income (Loss) (continued)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220" w:type="dxa"/>
            <w:vAlign w:val="bottom"/>
          </w:tcPr>
          <w:p>
            <w:pPr>
              <w:spacing w:after="0"/>
              <w:rPr>
                <w:sz w:val="13"/>
                <w:szCs w:val="13"/>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Tax Expense</w:t>
            </w:r>
          </w:p>
        </w:tc>
        <w:tc>
          <w:tcPr>
            <w:tcW w:w="260" w:type="dxa"/>
            <w:vAlign w:val="bottom"/>
          </w:tcPr>
          <w:p>
            <w:pPr>
              <w:spacing w:after="0"/>
              <w:rPr>
                <w:sz w:val="13"/>
                <w:szCs w:val="13"/>
                <w:color w:val="auto"/>
              </w:rPr>
            </w:pPr>
          </w:p>
        </w:tc>
        <w:tc>
          <w:tcPr>
            <w:tcW w:w="118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Net of Tax</w:t>
            </w:r>
          </w:p>
        </w:tc>
        <w:tc>
          <w:tcPr>
            <w:tcW w:w="0" w:type="dxa"/>
            <w:vAlign w:val="bottom"/>
          </w:tcPr>
          <w:p>
            <w:pPr>
              <w:spacing w:after="0"/>
              <w:rPr>
                <w:sz w:val="1"/>
                <w:szCs w:val="1"/>
                <w:color w:val="auto"/>
              </w:rPr>
            </w:pPr>
          </w:p>
        </w:tc>
      </w:tr>
      <w:tr>
        <w:trPr>
          <w:trHeight w:val="190"/>
        </w:trPr>
        <w:tc>
          <w:tcPr>
            <w:tcW w:w="6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(Benefit)</w:t>
            </w:r>
          </w:p>
        </w:tc>
        <w:tc>
          <w:tcPr>
            <w:tcW w:w="2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holding gains on securities</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15,128</w:t>
            </w:r>
          </w:p>
        </w:tc>
        <w:tc>
          <w:tcPr>
            <w:tcW w:w="0" w:type="dxa"/>
            <w:vAlign w:val="bottom"/>
          </w:tcPr>
          <w:p>
            <w:pPr>
              <w:spacing w:after="0"/>
              <w:rPr>
                <w:sz w:val="1"/>
                <w:szCs w:val="1"/>
                <w:color w:val="auto"/>
              </w:rPr>
            </w:pPr>
          </w:p>
        </w:tc>
      </w:tr>
      <w:tr>
        <w:trPr>
          <w:trHeight w:val="224"/>
        </w:trPr>
        <w:tc>
          <w:tcPr>
            <w:tcW w:w="6720" w:type="dxa"/>
            <w:vAlign w:val="bottom"/>
          </w:tcPr>
          <w:p>
            <w:pPr>
              <w:ind w:left="340"/>
              <w:spacing w:after="0" w:line="224" w:lineRule="exact"/>
              <w:rPr>
                <w:sz w:val="20"/>
                <w:szCs w:val="20"/>
                <w:color w:val="auto"/>
              </w:rPr>
            </w:pPr>
            <w:r>
              <w:rPr>
                <w:rFonts w:ascii="Times New Roman" w:cs="Times New Roman" w:eastAsia="Times New Roman" w:hAnsi="Times New Roman"/>
                <w:sz w:val="18"/>
                <w:szCs w:val="18"/>
                <w:color w:val="auto"/>
              </w:rPr>
              <w:t>Reclassification adjustment for gains realized in net income</w:t>
            </w:r>
            <w:r>
              <w:rPr>
                <w:rFonts w:ascii="Times New Roman" w:cs="Times New Roman" w:eastAsia="Times New Roman" w:hAnsi="Times New Roman"/>
                <w:sz w:val="22"/>
                <w:szCs w:val="22"/>
                <w:color w:val="auto"/>
                <w:vertAlign w:val="superscript"/>
              </w:rPr>
              <w:t>(2)</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31,063</w:t>
            </w:r>
          </w:p>
        </w:tc>
        <w:tc>
          <w:tcPr>
            <w:tcW w:w="0" w:type="dxa"/>
            <w:vAlign w:val="bottom"/>
          </w:tcPr>
          <w:p>
            <w:pPr>
              <w:spacing w:after="0"/>
              <w:rPr>
                <w:sz w:val="1"/>
                <w:szCs w:val="1"/>
                <w:color w:val="auto"/>
              </w:rPr>
            </w:pPr>
          </w:p>
        </w:tc>
      </w:tr>
      <w:tr>
        <w:trPr>
          <w:trHeight w:val="171"/>
        </w:trPr>
        <w:tc>
          <w:tcPr>
            <w:tcW w:w="6720" w:type="dxa"/>
            <w:vAlign w:val="bottom"/>
            <w:shd w:val="clear" w:color="auto" w:fill="CCEEFF"/>
          </w:tcPr>
          <w:p>
            <w:pPr>
              <w:ind w:left="340"/>
              <w:spacing w:after="0" w:line="171" w:lineRule="exact"/>
              <w:rPr>
                <w:sz w:val="20"/>
                <w:szCs w:val="20"/>
                <w:color w:val="auto"/>
              </w:rPr>
            </w:pPr>
            <w:r>
              <w:rPr>
                <w:rFonts w:ascii="Times New Roman" w:cs="Times New Roman" w:eastAsia="Times New Roman" w:hAnsi="Times New Roman"/>
                <w:sz w:val="18"/>
                <w:szCs w:val="18"/>
                <w:color w:val="auto"/>
                <w:w w:val="98"/>
              </w:rPr>
              <w:t>Amortization of unrealized holding losses on securities transferred to the held to maturity</w:t>
            </w:r>
          </w:p>
        </w:tc>
        <w:tc>
          <w:tcPr>
            <w:tcW w:w="3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category</w:t>
            </w:r>
          </w:p>
        </w:tc>
        <w:tc>
          <w:tcPr>
            <w:tcW w:w="3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13,557</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10,091</w:t>
            </w:r>
          </w:p>
        </w:tc>
        <w:tc>
          <w:tcPr>
            <w:tcW w:w="0" w:type="dxa"/>
            <w:vAlign w:val="bottom"/>
          </w:tcPr>
          <w:p>
            <w:pPr>
              <w:spacing w:after="0"/>
              <w:rPr>
                <w:sz w:val="1"/>
                <w:szCs w:val="1"/>
                <w:color w:val="auto"/>
              </w:rPr>
            </w:pPr>
          </w:p>
        </w:tc>
      </w:tr>
      <w:tr>
        <w:trPr>
          <w:trHeight w:val="21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securities available for sale</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56,282</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Unrealized holding losses on derivative instruments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(4,524)</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Amounts reclassified into earnings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0" w:type="dxa"/>
            <w:vAlign w:val="bottom"/>
          </w:tcPr>
          <w:p>
            <w:pPr>
              <w:spacing w:after="0"/>
              <w:rPr>
                <w:sz w:val="1"/>
                <w:szCs w:val="1"/>
                <w:color w:val="auto"/>
              </w:rPr>
            </w:pPr>
          </w:p>
        </w:tc>
      </w:tr>
      <w:tr>
        <w:trPr>
          <w:trHeight w:val="21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derivative instruments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Defined benefit pension and post-retirement benefit plans: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gain arising during the period</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340"/>
              <w:spacing w:after="0" w:line="224" w:lineRule="exact"/>
              <w:rPr>
                <w:sz w:val="20"/>
                <w:szCs w:val="20"/>
                <w:color w:val="auto"/>
              </w:rPr>
            </w:pPr>
            <w:r>
              <w:rPr>
                <w:rFonts w:ascii="Times New Roman" w:cs="Times New Roman" w:eastAsia="Times New Roman" w:hAnsi="Times New Roman"/>
                <w:sz w:val="18"/>
                <w:szCs w:val="18"/>
                <w:color w:val="auto"/>
              </w:rPr>
              <w:t>Amortization of net actuarial loss recognized in net periodic pension cost</w:t>
            </w:r>
            <w:r>
              <w:rPr>
                <w:rFonts w:ascii="Times New Roman" w:cs="Times New Roman" w:eastAsia="Times New Roman" w:hAnsi="Times New Roman"/>
                <w:sz w:val="22"/>
                <w:szCs w:val="22"/>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17"/>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defined benefit pension and post-retirement benefit plans</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42"/>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54,781</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180" w:hanging="175"/>
        <w:spacing w:after="0"/>
        <w:tabs>
          <w:tab w:leader="none" w:pos="180" w:val="left"/>
        </w:tabs>
        <w:numPr>
          <w:ilvl w:val="0"/>
          <w:numId w:val="3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color w:val="auto"/>
        </w:rPr>
        <w:t>Included in Salaries and employee benefits in the Consolidated Statements of Income</w:t>
      </w:r>
    </w:p>
    <w:p>
      <w:pPr>
        <w:ind w:left="160" w:hanging="155"/>
        <w:spacing w:after="0" w:line="183" w:lineRule="auto"/>
        <w:tabs>
          <w:tab w:leader="none" w:pos="160" w:val="left"/>
        </w:tabs>
        <w:numPr>
          <w:ilvl w:val="0"/>
          <w:numId w:val="3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Included in Net losses on sales of securities and Impairment losses on securities in the Consolidated Statements of Income</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accumulated balances for each component of other comprehensive loss, net of tax, at December 31 were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losses on securities</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(96,977)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(152,934)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(163,484)</w:t>
            </w: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gains on derivative instruments</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17,051</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Unrecognized losses on defined benefit pension and post-retirement benefit plans obligations</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(7,823)</w:t>
            </w:r>
          </w:p>
        </w:tc>
      </w:tr>
      <w:tr>
        <w:trPr>
          <w:trHeight w:val="21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accumulated other comprehensive loss</w:t>
            </w: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(89,732)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(142,608)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(154,256)</w:t>
            </w:r>
          </w:p>
        </w:tc>
      </w:tr>
      <w:tr>
        <w:trPr>
          <w:trHeight w:val="20"/>
        </w:trPr>
        <w:tc>
          <w:tcPr>
            <w:tcW w:w="6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Net Income Per Common Share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net income per common share calculations are as follows for the periods presented: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applicable to common stock</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181,272</w:t>
            </w:r>
          </w:p>
        </w:tc>
        <w:tc>
          <w:tcPr>
            <w:tcW w:w="44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195,457</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144,678</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common shares outstanding</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86,940,841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59,350,157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56,099,689</w:t>
            </w:r>
          </w:p>
        </w:tc>
      </w:tr>
      <w:tr>
        <w:trPr>
          <w:trHeight w:val="21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common share—basic</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0"/>
        </w:trPr>
        <w:tc>
          <w:tcPr>
            <w:tcW w:w="672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b w:val="1"/>
                <w:bCs w:val="1"/>
                <w:color w:val="auto"/>
              </w:rPr>
              <w:t>Diluted</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applicable to common stock</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181,272</w:t>
            </w:r>
          </w:p>
        </w:tc>
        <w:tc>
          <w:tcPr>
            <w:tcW w:w="44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195,457</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144,678</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common shares outstanding</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86,940,841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59,350,157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56,099,689</w:t>
            </w:r>
          </w:p>
        </w:tc>
      </w:tr>
      <w:tr>
        <w:trPr>
          <w:trHeight w:val="224"/>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dilutive stock-based compensation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573,942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398,633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348,474</w:t>
            </w:r>
          </w:p>
        </w:tc>
      </w:tr>
      <w:tr>
        <w:trPr>
          <w:trHeight w:val="21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common shares outstanding—diluted</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87,514,783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59,748,790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56,448,163</w:t>
            </w:r>
          </w:p>
        </w:tc>
      </w:tr>
      <w:tr>
        <w:trPr>
          <w:trHeight w:val="21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common share—diluted</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0"/>
        </w:trPr>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Outstanding stock-based compensation awards that could potentially dilute basic net income per common share in the future that were not included in the computation of diluted net income per common share due to their anti-dilutive effect were as follows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1560" w:type="dxa"/>
            <w:vAlign w:val="bottom"/>
          </w:tcPr>
          <w:p>
            <w:pPr>
              <w:spacing w:after="0"/>
              <w:rPr>
                <w:sz w:val="16"/>
                <w:szCs w:val="16"/>
                <w:color w:val="auto"/>
              </w:rPr>
            </w:pPr>
          </w:p>
        </w:tc>
      </w:tr>
      <w:tr>
        <w:trPr>
          <w:trHeight w:val="197"/>
        </w:trPr>
        <w:tc>
          <w:tcPr>
            <w:tcW w:w="6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60" w:type="dxa"/>
            <w:vAlign w:val="bottom"/>
          </w:tcPr>
          <w:p>
            <w:pPr>
              <w:spacing w:after="0"/>
              <w:rPr>
                <w:sz w:val="17"/>
                <w:szCs w:val="17"/>
                <w:color w:val="auto"/>
              </w:rPr>
            </w:pPr>
          </w:p>
        </w:tc>
      </w:tr>
      <w:tr>
        <w:trPr>
          <w:trHeight w:val="24"/>
        </w:trPr>
        <w:tc>
          <w:tcPr>
            <w:tcW w:w="634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4"/>
        </w:trPr>
        <w:tc>
          <w:tcPr>
            <w:tcW w:w="634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8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shares</w:t>
            </w:r>
          </w:p>
        </w:tc>
        <w:tc>
          <w:tcPr>
            <w:tcW w:w="1560" w:type="dxa"/>
            <w:vAlign w:val="bottom"/>
            <w:shd w:val="clear" w:color="auto" w:fill="CCEEFF"/>
          </w:tcPr>
          <w:p>
            <w:pPr>
              <w:jc w:val="right"/>
              <w:ind w:right="501"/>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501"/>
              <w:spacing w:after="0"/>
              <w:rPr>
                <w:sz w:val="20"/>
                <w:szCs w:val="20"/>
                <w:color w:val="auto"/>
              </w:rPr>
            </w:pPr>
            <w:r>
              <w:rPr>
                <w:rFonts w:ascii="Times New Roman" w:cs="Times New Roman" w:eastAsia="Times New Roman" w:hAnsi="Times New Roman"/>
                <w:sz w:val="18"/>
                <w:szCs w:val="18"/>
                <w:color w:val="auto"/>
              </w:rPr>
              <w:t>6,600</w:t>
            </w:r>
          </w:p>
        </w:tc>
      </w:tr>
    </w:tbl>
    <w:p>
      <w:pPr>
        <w:spacing w:after="0" w:line="200" w:lineRule="exact"/>
        <w:rPr>
          <w:sz w:val="20"/>
          <w:szCs w:val="20"/>
          <w:color w:val="auto"/>
        </w:rPr>
      </w:pPr>
    </w:p>
    <w:p>
      <w:pPr>
        <w:spacing w:after="0" w:line="253" w:lineRule="exact"/>
        <w:rPr>
          <w:sz w:val="20"/>
          <w:szCs w:val="20"/>
          <w:color w:val="auto"/>
        </w:rPr>
      </w:pPr>
    </w:p>
    <w:p>
      <w:pPr>
        <w:ind w:right="3520"/>
        <w:spacing w:after="0" w:line="428" w:lineRule="auto"/>
        <w:rPr>
          <w:sz w:val="20"/>
          <w:szCs w:val="20"/>
          <w:color w:val="auto"/>
        </w:rPr>
      </w:pPr>
      <w:r>
        <w:rPr>
          <w:rFonts w:ascii="Times New Roman" w:cs="Times New Roman" w:eastAsia="Times New Roman" w:hAnsi="Times New Roman"/>
          <w:sz w:val="18"/>
          <w:szCs w:val="18"/>
          <w:b w:val="1"/>
          <w:bCs w:val="1"/>
          <w:color w:val="auto"/>
        </w:rPr>
        <w:t xml:space="preserve">Note 19 – Commitments, Contingent Liabilities and Financial Instruments with Off-Balance Sheet Risk </w:t>
      </w:r>
      <w:r>
        <w:rPr>
          <w:rFonts w:ascii="Times New Roman" w:cs="Times New Roman" w:eastAsia="Times New Roman" w:hAnsi="Times New Roman"/>
          <w:sz w:val="18"/>
          <w:szCs w:val="18"/>
          <w:i w:val="1"/>
          <w:iCs w:val="1"/>
          <w:color w:val="auto"/>
        </w:rPr>
        <w:t>(In Thousands)</w:t>
      </w:r>
    </w:p>
    <w:p>
      <w:pPr>
        <w:spacing w:after="0" w:line="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Loan commitments are made to accommodate the financial needs of the Company’s customers. Standby letters of credit commit the Company to make payments on behalf of customers when certain specified future events occur. Both arrangements have credit risk essentially the same as that involved in extending loans to customers and are subject to the Company’s normal credit policies. Collateral (e.g., securities, receivables, inventory, equipment, etc.) is obtained based on management’s credit assessment of the customer. The Company’s unfunded loan commitments (unfunded loans and unused lines of credit) and standby letters of credit outstanding at December 31, 2025 were $3,662,810 and $122,367, respectively, compared to $2,856,308 and $90,267, respectively, at December 31, 2024. For information on the allowance for credit losses on unfunded loan commitments, see Note 5, “Allowance for Credit Losses”.</w:t>
      </w:r>
    </w:p>
    <w:p>
      <w:pPr>
        <w:spacing w:after="0" w:line="1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Various claims and lawsuits are pending against the Company and Renasant Bank. In the opinion of management, after consultation with legal counsel, resolution of these matters is not expected to have a material effect on the consolidated financial statements.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Market risk resulting from interest rate changes on particular off-balance sheet financial instruments may be offset by other on - or off-balance sheet transactions. Interest rate sensitivity is monitored by the Company for determining the net effect of potential changes in interest rates on the market value of both on- and off-balance sheet financial instruments.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310" w:lineRule="exact"/>
        <w:rPr>
          <w:sz w:val="20"/>
          <w:szCs w:val="20"/>
          <w:color w:val="auto"/>
        </w:rPr>
      </w:pPr>
    </w:p>
    <w:p>
      <w:pPr>
        <w:ind w:right="5320"/>
        <w:spacing w:after="0" w:line="428" w:lineRule="auto"/>
        <w:rPr>
          <w:sz w:val="20"/>
          <w:szCs w:val="20"/>
          <w:color w:val="auto"/>
        </w:rPr>
      </w:pPr>
      <w:r>
        <w:rPr>
          <w:rFonts w:ascii="Times New Roman" w:cs="Times New Roman" w:eastAsia="Times New Roman" w:hAnsi="Times New Roman"/>
          <w:sz w:val="18"/>
          <w:szCs w:val="18"/>
          <w:b w:val="1"/>
          <w:bCs w:val="1"/>
          <w:color w:val="auto"/>
        </w:rPr>
        <w:t xml:space="preserve">Note 20 – Restrictions on Cash, Securities, Bank Dividends, Loans or Advances </w:t>
      </w:r>
      <w:r>
        <w:rPr>
          <w:rFonts w:ascii="Times New Roman" w:cs="Times New Roman" w:eastAsia="Times New Roman" w:hAnsi="Times New Roman"/>
          <w:sz w:val="18"/>
          <w:szCs w:val="18"/>
          <w:i w:val="1"/>
          <w:iCs w:val="1"/>
          <w:color w:val="auto"/>
        </w:rPr>
        <w:t>(In Thousands)</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2020, the Federal Reserve announced that effective March 26, 2020 the reserve requirement would be reduced to zero to support the flow of credit to households and businesses in response to the economic environment caused by the COVID-19 pandemic. The reserve requirement has remained at zero since that time.</w:t>
      </w:r>
    </w:p>
    <w:p>
      <w:pPr>
        <w:spacing w:after="0" w:line="12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Company’s balance of FHLB stock, which is carried at amortized cost, at December 31, 2025 and 2024, was $38,297 and $15,209, respectively. The required investment for the same time period was $29,550 and $11,044, respectively.</w:t>
      </w:r>
    </w:p>
    <w:p>
      <w:pPr>
        <w:spacing w:after="0" w:line="11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Company’s ability to pay dividends to its shareholders is substantially dependent on the ability of Renasant Bank to transfer funds to the Company in the form of dividends, loans and advances. The approval of the Mississippi Department of Banking and Consumer Finance (the “DBCF”) is required prior to the Bank paying dividends to the Company, and under certain circumstances the Federal Reserve approval may also be required. Under Mississippi law, a Mississippi bank may not pay dividends unless its earned surplus is in excess of three times capital stock. A Mississippi bank with earned surplus in excess of three times capital stock may pay a dividend, subject to the approval of the DBCF. In addition, Federal Reserve regulations prohibit a member bank from paying a dividend without prior approval from the Federal Reserve if either (1) the total of all dividends declared during the calendar year, including the proposed dividend, exceeds the sum of the bank’s net income for the current year plus its retained net income of the prior two calendar years or (2) the dividend would exceed the bank’s undivided profits as reportable on its Reports of Condition and Income. In this latter scenario, Federal Reserve regulations also require that at least two-thirds of the bank’s shareholders approve the proposed dividend. Accordingly, the approval of the DBCF is required prior to the Bank paying dividends to the Company, and under certain circumstances Federal Reserve approval may also be required.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2025, the Bank’s earned surplus exceeded the Bank’s capital stock by more than ten times.</w:t>
      </w:r>
    </w:p>
    <w:p>
      <w:pPr>
        <w:spacing w:after="0" w:line="16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addition to the Federal Reserve and DBCF restrictions on dividends payable by the Bank to the Company, the Federal Reserve has provided guidance on the criteria that it will use to evaluate the request by a bank holding company to pay dividends in an aggregate amount that will exceed the company’s earnings for the period in which the dividends will be paid. For purposes of this analysis, “dividend” includes not only dividends on preferred and common equity but also dividends on debt underlying trust preferred securities and Tier 1 capital instruments. The Federal Reserve’s criteria evaluates whether the holding company (1) has net income over the past four quarters sufficient to fully fund the proposed dividend (taking into account prior dividends paid during this period), (2) is considering stock repurchases or redemptions in the quarter, (3) does not have a concentration in commercial real estate and (4) is in good supervisory condition, based on its overall condition and its asset quality risk. A holding company not meeting these criteria will require more in-depth consultations with the Federal Reserve. With respect to the second quarter of 2025, due to the impact of the Day 1 acquisition provision and the merger and conversion related expenses we incurred in such quarter, the Company's net income for the immediately-preceding four quarters was not sufficient to cover the second quarter dividend, and accordingly Federal Reserve consultation was necessary prior to the payment of our June 30, 2025 dividend. The Company did not otherwise require regulatory approval for dividends paid in 2024 or 2025.</w:t>
      </w:r>
    </w:p>
    <w:p>
      <w:pPr>
        <w:spacing w:after="0" w:line="14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Federal Reserve regulations also limit the amount Renasant Bank may loan to the Company unless such loans are collateralized by specific obligations. At December 31, 2025, the maximum amount available for transfer from Renasant Bank to the Company in the form of loans was $286,062. The Company also maintains a $3,000 line of credit collateralized by cash with the Bank. As of December 31, 2025, no loans from the Bank to the Company were outstanding.</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 Regulatory Matters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6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Company and the Bank are subject to various regulatory capital requirements administered by the federal banking agencies. Failure to meet minimum capital requirements can initiate certain mandatory, and possibly additional discretionary, actions by regulators that, if undertaken, could have a direct material effect on the Company’s financial statements. Under capital adequacy guidelines and the regulatory framework for prompt corrective action, the Company and the Bank must meet specific capital guidelines that involve quantitative measures of assets, liabilities, and certain off-balance sheet items as calculated under regulatory accounting practices. Capital amounts and classification are also subject to qualitative judgments by the regulators about components, risk weightings, and other factors.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 Regulatory Matters (continued)</w:t>
      </w:r>
    </w:p>
    <w:p>
      <w:pPr>
        <w:spacing w:after="0" w:line="2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Federal Reserve, the FDIC and the Office of the Comptroller of the Currency have issued guidelines governing the levels of capital that bank holding companies and banks must maintain. Those guidelines specify capital tiers, which include the following classifications (which include the “capital conservation buffer” discussed below):</w:t>
      </w: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74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Tier 1 Capital to</w:t>
            </w:r>
          </w:p>
        </w:tc>
        <w:tc>
          <w:tcPr>
            <w:tcW w:w="17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Common Equity Tier 1 to</w:t>
            </w:r>
          </w:p>
        </w:tc>
        <w:tc>
          <w:tcPr>
            <w:tcW w:w="174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Tier 1 Capital to</w:t>
            </w:r>
          </w:p>
        </w:tc>
        <w:tc>
          <w:tcPr>
            <w:tcW w:w="16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9"/>
              </w:rPr>
              <w:t>Total Capital to</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Capital Tiers</w:t>
            </w:r>
          </w:p>
        </w:tc>
        <w:tc>
          <w:tcPr>
            <w:tcW w:w="1740" w:type="dxa"/>
            <w:vAlign w:val="bottom"/>
            <w:gridSpan w:val="2"/>
          </w:tcPr>
          <w:p>
            <w:pPr>
              <w:jc w:val="center"/>
              <w:ind w:right="120"/>
              <w:spacing w:after="0" w:line="143" w:lineRule="exact"/>
              <w:rPr>
                <w:sz w:val="20"/>
                <w:szCs w:val="20"/>
                <w:color w:val="auto"/>
              </w:rPr>
            </w:pPr>
            <w:r>
              <w:rPr>
                <w:rFonts w:ascii="Times New Roman" w:cs="Times New Roman" w:eastAsia="Times New Roman" w:hAnsi="Times New Roman"/>
                <w:sz w:val="14"/>
                <w:szCs w:val="14"/>
                <w:b w:val="1"/>
                <w:bCs w:val="1"/>
                <w:color w:val="auto"/>
                <w:w w:val="99"/>
              </w:rPr>
              <w:t>Average Assets</w:t>
            </w:r>
          </w:p>
        </w:tc>
        <w:tc>
          <w:tcPr>
            <w:tcW w:w="1740" w:type="dxa"/>
            <w:vAlign w:val="bottom"/>
            <w:gridSpan w:val="2"/>
            <w:vMerge w:val="continue"/>
          </w:tcPr>
          <w:p>
            <w:pPr>
              <w:spacing w:after="0"/>
              <w:rPr>
                <w:sz w:val="12"/>
                <w:szCs w:val="12"/>
                <w:color w:val="auto"/>
              </w:rPr>
            </w:pPr>
          </w:p>
        </w:tc>
        <w:tc>
          <w:tcPr>
            <w:tcW w:w="1740" w:type="dxa"/>
            <w:vAlign w:val="bottom"/>
            <w:gridSpan w:val="2"/>
          </w:tcPr>
          <w:p>
            <w:pPr>
              <w:jc w:val="center"/>
              <w:ind w:right="120"/>
              <w:spacing w:after="0" w:line="143" w:lineRule="exact"/>
              <w:rPr>
                <w:sz w:val="20"/>
                <w:szCs w:val="20"/>
                <w:color w:val="auto"/>
              </w:rPr>
            </w:pPr>
            <w:r>
              <w:rPr>
                <w:rFonts w:ascii="Times New Roman" w:cs="Times New Roman" w:eastAsia="Times New Roman" w:hAnsi="Times New Roman"/>
                <w:sz w:val="14"/>
                <w:szCs w:val="14"/>
                <w:b w:val="1"/>
                <w:bCs w:val="1"/>
                <w:color w:val="auto"/>
                <w:w w:val="99"/>
              </w:rPr>
              <w:t>Risk – Weighted</w:t>
            </w:r>
          </w:p>
        </w:tc>
        <w:tc>
          <w:tcPr>
            <w:tcW w:w="166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Risk – Weighted</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260" w:type="dxa"/>
            <w:vAlign w:val="bottom"/>
            <w:gridSpan w:val="2"/>
            <w:vMerge w:val="continue"/>
          </w:tcPr>
          <w:p>
            <w:pPr>
              <w:spacing w:after="0"/>
              <w:rPr>
                <w:sz w:val="12"/>
                <w:szCs w:val="12"/>
                <w:color w:val="auto"/>
              </w:rPr>
            </w:pPr>
          </w:p>
        </w:tc>
        <w:tc>
          <w:tcPr>
            <w:tcW w:w="1740" w:type="dxa"/>
            <w:vAlign w:val="bottom"/>
            <w:gridSpan w:val="2"/>
          </w:tcPr>
          <w:p>
            <w:pPr>
              <w:jc w:val="center"/>
              <w:ind w:right="100"/>
              <w:spacing w:after="0" w:line="125" w:lineRule="exact"/>
              <w:rPr>
                <w:sz w:val="20"/>
                <w:szCs w:val="20"/>
                <w:color w:val="auto"/>
              </w:rPr>
            </w:pPr>
            <w:r>
              <w:rPr>
                <w:rFonts w:ascii="Times New Roman" w:cs="Times New Roman" w:eastAsia="Times New Roman" w:hAnsi="Times New Roman"/>
                <w:sz w:val="14"/>
                <w:szCs w:val="14"/>
                <w:b w:val="1"/>
                <w:bCs w:val="1"/>
                <w:color w:val="auto"/>
                <w:w w:val="99"/>
              </w:rPr>
              <w:t>(Leverage)</w:t>
            </w:r>
          </w:p>
        </w:tc>
        <w:tc>
          <w:tcPr>
            <w:tcW w:w="1740" w:type="dxa"/>
            <w:vAlign w:val="bottom"/>
            <w:gridSpan w:val="2"/>
          </w:tcPr>
          <w:p>
            <w:pPr>
              <w:jc w:val="center"/>
              <w:ind w:right="100"/>
              <w:spacing w:after="0" w:line="125" w:lineRule="exact"/>
              <w:rPr>
                <w:sz w:val="20"/>
                <w:szCs w:val="20"/>
                <w:color w:val="auto"/>
              </w:rPr>
            </w:pPr>
            <w:r>
              <w:rPr>
                <w:rFonts w:ascii="Times New Roman" w:cs="Times New Roman" w:eastAsia="Times New Roman" w:hAnsi="Times New Roman"/>
                <w:sz w:val="14"/>
                <w:szCs w:val="14"/>
                <w:b w:val="1"/>
                <w:bCs w:val="1"/>
                <w:color w:val="auto"/>
                <w:w w:val="99"/>
              </w:rPr>
              <w:t>Risk - Weighted Assets</w:t>
            </w:r>
          </w:p>
        </w:tc>
        <w:tc>
          <w:tcPr>
            <w:tcW w:w="1740" w:type="dxa"/>
            <w:vAlign w:val="bottom"/>
            <w:gridSpan w:val="2"/>
          </w:tcPr>
          <w:p>
            <w:pPr>
              <w:jc w:val="center"/>
              <w:ind w:right="100"/>
              <w:spacing w:after="0" w:line="125" w:lineRule="exact"/>
              <w:rPr>
                <w:sz w:val="20"/>
                <w:szCs w:val="20"/>
                <w:color w:val="auto"/>
              </w:rPr>
            </w:pPr>
            <w:r>
              <w:rPr>
                <w:rFonts w:ascii="Times New Roman" w:cs="Times New Roman" w:eastAsia="Times New Roman" w:hAnsi="Times New Roman"/>
                <w:sz w:val="14"/>
                <w:szCs w:val="14"/>
                <w:b w:val="1"/>
                <w:bCs w:val="1"/>
                <w:color w:val="auto"/>
                <w:w w:val="96"/>
              </w:rPr>
              <w:t>Assets</w:t>
            </w:r>
          </w:p>
        </w:tc>
        <w:tc>
          <w:tcPr>
            <w:tcW w:w="166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800" w:type="dxa"/>
            <w:vAlign w:val="bottom"/>
            <w:tcBorders>
              <w:top w:val="single" w:sz="8" w:color="auto"/>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 capitalized</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 or above</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6.5% or above</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8% or above</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 or above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Adequately capitalized</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4% or above</w:t>
            </w: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4.5% or above</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6% or above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 or above</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Undercapitalized</w:t>
            </w:r>
          </w:p>
        </w:tc>
        <w:tc>
          <w:tcPr>
            <w:tcW w:w="1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Less than 4%</w:t>
            </w:r>
          </w:p>
        </w:tc>
        <w:tc>
          <w:tcPr>
            <w:tcW w:w="1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Less than 4.5%</w:t>
            </w:r>
          </w:p>
        </w:tc>
        <w:tc>
          <w:tcPr>
            <w:tcW w:w="1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Less than 6%</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Less than 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Significantly undercapitalized</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Less than 3%</w:t>
            </w: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Less than 3%</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Less than 4%</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Less than 6%</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Critically undercapitalized</w:t>
            </w: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8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Tangible Equity / Total Assets less than 2%</w:t>
            </w: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capital and risk-based capital and leverage ratios for the Company and for Renasant Bank as of December 31:</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00" w:type="dxa"/>
            <w:vAlign w:val="bottom"/>
            <w:gridSpan w:val="3"/>
          </w:tcPr>
          <w:p>
            <w:pPr>
              <w:jc w:val="right"/>
              <w:ind w:right="131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
        </w:trPr>
        <w:tc>
          <w:tcPr>
            <w:tcW w:w="4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gridSpan w:val="3"/>
          </w:tcPr>
          <w:p>
            <w:pPr>
              <w:spacing w:after="0"/>
              <w:rPr>
                <w:sz w:val="2"/>
                <w:szCs w:val="2"/>
                <w:color w:val="auto"/>
              </w:rPr>
            </w:pPr>
          </w:p>
        </w:tc>
        <w:tc>
          <w:tcPr>
            <w:tcW w:w="12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84"/>
        </w:trPr>
        <w:tc>
          <w:tcPr>
            <w:tcW w:w="46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gridSpan w:val="3"/>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60" w:type="dxa"/>
            <w:vAlign w:val="bottom"/>
            <w:tcBorders>
              <w:top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Ratio</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Ratio</w:t>
            </w:r>
          </w:p>
        </w:tc>
      </w:tr>
      <w:tr>
        <w:trPr>
          <w:trHeight w:val="210"/>
        </w:trPr>
        <w:tc>
          <w:tcPr>
            <w:tcW w:w="50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Renasant Corporation</w:t>
            </w: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r>
      <w:tr>
        <w:trPr>
          <w:trHeight w:val="224"/>
        </w:trPr>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6"/>
              </w:rPr>
              <w:t>Tier 1</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to Average Assets (Leverage)</w:t>
            </w: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2,424,528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9.61 %</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1,935,522</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11.34 %</w:t>
            </w:r>
          </w:p>
        </w:tc>
      </w:tr>
      <w:tr>
        <w:trPr>
          <w:trHeight w:val="224"/>
        </w:trPr>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Equity Tier 1 Capital to Risk-Weighted Assets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2,424,528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1,825,197</w:t>
            </w:r>
          </w:p>
        </w:tc>
        <w:tc>
          <w:tcPr>
            <w:tcW w:w="1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12.73 %</w:t>
            </w:r>
          </w:p>
        </w:tc>
      </w:tr>
      <w:tr>
        <w:trPr>
          <w:trHeight w:val="224"/>
        </w:trPr>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6"/>
              </w:rPr>
              <w:t>Tier 1</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to Risk-Weighted Assets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2,424,528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1,935,522</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13.50 %</w:t>
            </w:r>
          </w:p>
        </w:tc>
      </w:tr>
      <w:tr>
        <w:trPr>
          <w:trHeight w:val="224"/>
        </w:trPr>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3,190,074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2,449,129</w:t>
            </w:r>
          </w:p>
        </w:tc>
        <w:tc>
          <w:tcPr>
            <w:tcW w:w="1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17.08 %</w:t>
            </w:r>
          </w:p>
        </w:tc>
      </w:tr>
      <w:tr>
        <w:trPr>
          <w:trHeight w:val="224"/>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Renasant Bank</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4"/>
        </w:trPr>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6"/>
              </w:rPr>
              <w:t>Tier 1</w:t>
            </w:r>
          </w:p>
        </w:tc>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to Average Assets (Leverage)</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2,590,284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1,843,123</w:t>
            </w:r>
          </w:p>
        </w:tc>
        <w:tc>
          <w:tcPr>
            <w:tcW w:w="1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10.80 %</w:t>
            </w:r>
          </w:p>
        </w:tc>
      </w:tr>
      <w:tr>
        <w:trPr>
          <w:trHeight w:val="224"/>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Equity Tier 1 Capital to Risk-Weighted Assets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2,590,284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1,843,123</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12.85 %</w:t>
            </w:r>
          </w:p>
        </w:tc>
      </w:tr>
      <w:tr>
        <w:trPr>
          <w:trHeight w:val="224"/>
        </w:trPr>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6"/>
              </w:rPr>
              <w:t>Tier 1</w:t>
            </w:r>
          </w:p>
        </w:tc>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to Risk-Weighted Assets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2,590,284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1,843,123</w:t>
            </w:r>
          </w:p>
        </w:tc>
        <w:tc>
          <w:tcPr>
            <w:tcW w:w="1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12.85 %</w:t>
            </w:r>
          </w:p>
        </w:tc>
      </w:tr>
      <w:tr>
        <w:trPr>
          <w:trHeight w:val="228"/>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2,860,621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2,022,737</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14.10 %</w:t>
            </w:r>
          </w:p>
        </w:tc>
      </w:tr>
    </w:tbl>
    <w:p>
      <w:pPr>
        <w:spacing w:after="0" w:line="21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Common equity Tier 1 capital (“CET1”) generally consists of common stock, retained earnings, accumulated other comprehensive income and certain minority interests, less certain adjustments and deductions. In addition, the Company and the Bank must maintain a “capital conservation buffer,” which is a 2.5% of CET1 to risk-weighted assets in addition to the amount necessary to meet minimum risk-based capital requirements. The capital conservation buffer is designed to absorb losses during periods of economic stress. If the Company’s ratio of CET1 to risk-weighted capital is below the capital conservation buffer, the Company will face restrictions on its ability to pay dividends, repurchase outstanding stock and make certain discretionary bonus payments. If the Bank’s ratio of CET1 to risk-weighted capital is below the capital conservation buffer, the Bank will face limitations on capital distributions, including the payment of dividends to the Company.</w:t>
      </w:r>
    </w:p>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previously disclosed, the Company adopted CECL as of January 1, 2020. The Company has elected to take advantage of transitional relief offered by the Federal Reserve and the FDIC to delay for two years the estimated impact of CECL on regulatory capital, followed by a three-year transitional period to phase out the capital benefit provided by the two-year delay.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 Segment Reporting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operations of the Company’s reportable segments are described as follows:</w:t>
      </w:r>
    </w:p>
    <w:p>
      <w:pPr>
        <w:spacing w:after="0" w:line="161" w:lineRule="exact"/>
        <w:rPr>
          <w:sz w:val="20"/>
          <w:szCs w:val="20"/>
          <w:color w:val="auto"/>
        </w:rPr>
      </w:pPr>
    </w:p>
    <w:p>
      <w:pPr>
        <w:jc w:val="both"/>
        <w:ind w:left="320" w:hanging="315"/>
        <w:spacing w:after="0" w:line="256" w:lineRule="auto"/>
        <w:tabs>
          <w:tab w:leader="none" w:pos="31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Community Banks segment delivers a complete range of banking and financial services to individuals and small to medium-size businesses including checking and savings accounts, business and personal loans, asset-based lending, factoring, equipment leasing and treasury management services, as well as safe deposit and night depository facilities.</w:t>
      </w:r>
    </w:p>
    <w:p>
      <w:pPr>
        <w:spacing w:after="0" w:line="127" w:lineRule="exact"/>
        <w:rPr>
          <w:rFonts w:ascii="Times New Roman" w:cs="Times New Roman" w:eastAsia="Times New Roman" w:hAnsi="Times New Roman"/>
          <w:sz w:val="18"/>
          <w:szCs w:val="18"/>
          <w:color w:val="auto"/>
        </w:rPr>
      </w:pPr>
    </w:p>
    <w:p>
      <w:pPr>
        <w:jc w:val="both"/>
        <w:ind w:left="320" w:hanging="315"/>
        <w:spacing w:after="0" w:line="256" w:lineRule="auto"/>
        <w:tabs>
          <w:tab w:leader="none" w:pos="31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Wealth Management segment, through the Trust division, offers a broad range of fiduciary services including the administration (as trustee or in other fiduciary or representative capacities) of benefit plans, management of trust accounts, inclusive of personal and corporate benefit accounts and custodial accounts, as well as accounting and money management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 Segment Reporting (continued)</w:t>
      </w:r>
    </w:p>
    <w:p>
      <w:pPr>
        <w:spacing w:after="0" w:line="269" w:lineRule="exact"/>
        <w:rPr>
          <w:sz w:val="20"/>
          <w:szCs w:val="20"/>
          <w:color w:val="auto"/>
        </w:rPr>
      </w:pPr>
    </w:p>
    <w:p>
      <w:pPr>
        <w:jc w:val="both"/>
        <w:ind w:left="320"/>
        <w:spacing w:after="0" w:line="256" w:lineRule="auto"/>
        <w:rPr>
          <w:sz w:val="20"/>
          <w:szCs w:val="20"/>
          <w:color w:val="auto"/>
        </w:rPr>
      </w:pPr>
      <w:r>
        <w:rPr>
          <w:rFonts w:ascii="Times New Roman" w:cs="Times New Roman" w:eastAsia="Times New Roman" w:hAnsi="Times New Roman"/>
          <w:sz w:val="18"/>
          <w:szCs w:val="18"/>
          <w:color w:val="auto"/>
        </w:rPr>
        <w:t>for trust accounts. In addition, the Wealth Management segment, through the Financial Services division, provides specialized products and services to customers, which include fixed and variable annuities, mutual funds and other investment services through a third party broker-dealer. The Financial Services division also provides administrative and compliance services for certain mutual funds.</w:t>
      </w:r>
    </w:p>
    <w:p>
      <w:pPr>
        <w:spacing w:after="0" w:line="127" w:lineRule="exact"/>
        <w:rPr>
          <w:sz w:val="20"/>
          <w:szCs w:val="20"/>
          <w:color w:val="auto"/>
        </w:rPr>
      </w:pPr>
    </w:p>
    <w:p>
      <w:pPr>
        <w:ind w:left="320" w:hanging="315"/>
        <w:spacing w:after="0" w:line="268" w:lineRule="auto"/>
        <w:tabs>
          <w:tab w:leader="none" w:pos="31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maintained an insurance segment through Renasant Insurance, Inc., which offered all lines of commercial and personal insurance through major carriers. Effective July 1, 2024, the Bank sold substantially all of the assets of Renasant Insurance, Inc.</w:t>
      </w:r>
    </w:p>
    <w:p>
      <w:pPr>
        <w:spacing w:after="0" w:line="1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reportable segments are determined by the Chief Executive Officer, who is the designated chief operating decision maker (“CODM”), based upon information provided about the Company’s products and services. The CODM evaluates the financial performance of the segments by evaluating net income as the primary measure of segment performance, as well as revenue streams, significant expenses and budget to actual results, and the CODM provides guidance in strategy and the allocation of resources.</w:t>
      </w:r>
    </w:p>
    <w:p>
      <w:pPr>
        <w:spacing w:after="0" w:line="13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In order to give the CODM a more precise indication of the income and expenses controlled by each segment, the results of operations for each segment reflect its own direct revenues and expenses. Indirect revenues and expenses, including income from the Company’s investment portfolio, as well as certain costs associated with data processing and back office functions, primarily support the operations of the community banks and, therefore, are included in the results of the Community Banks segment. Included in “Other” are the operations of the holding company and other eliminations that are necessary for purposes of reconciling to the consolidated amounts. Accounting policies for each segment are the same as those described in Note 1, “Significant Accounting Policies.”</w:t>
      </w:r>
    </w:p>
    <w:p>
      <w:pPr>
        <w:spacing w:after="0" w:line="1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following table provides financial information for the Company’s reportable operating segments as of and for the years ended December 31, 2025, 2024 and 2023. All capital expenditures for assets are attributed to the Community Banks segment.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Community</w:t>
            </w:r>
          </w:p>
        </w:tc>
        <w:tc>
          <w:tcPr>
            <w:tcW w:w="220" w:type="dxa"/>
            <w:vAlign w:val="bottom"/>
          </w:tcPr>
          <w:p>
            <w:pPr>
              <w:spacing w:after="0"/>
              <w:rPr>
                <w:sz w:val="16"/>
                <w:szCs w:val="16"/>
                <w:color w:val="auto"/>
              </w:rPr>
            </w:pPr>
          </w:p>
        </w:tc>
        <w:tc>
          <w:tcPr>
            <w:tcW w:w="1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Wealth</w:t>
            </w:r>
          </w:p>
        </w:tc>
        <w:tc>
          <w:tcPr>
            <w:tcW w:w="120" w:type="dxa"/>
            <w:vAlign w:val="bottom"/>
          </w:tcPr>
          <w:p>
            <w:pPr>
              <w:spacing w:after="0"/>
              <w:rPr>
                <w:sz w:val="16"/>
                <w:szCs w:val="16"/>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Total Segments</w:t>
            </w:r>
          </w:p>
        </w:tc>
        <w:tc>
          <w:tcPr>
            <w:tcW w:w="280" w:type="dxa"/>
            <w:vAlign w:val="bottom"/>
          </w:tcPr>
          <w:p>
            <w:pPr>
              <w:spacing w:after="0"/>
              <w:rPr>
                <w:sz w:val="16"/>
                <w:szCs w:val="16"/>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6"/>
                <w:szCs w:val="16"/>
                <w:color w:val="auto"/>
              </w:rPr>
            </w:pPr>
          </w:p>
        </w:tc>
        <w:tc>
          <w:tcPr>
            <w:tcW w:w="1160" w:type="dxa"/>
            <w:vAlign w:val="bottom"/>
            <w:vMerge w:val="restart"/>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0"/>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Banks</w:t>
            </w:r>
          </w:p>
        </w:tc>
        <w:tc>
          <w:tcPr>
            <w:tcW w:w="2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Management</w:t>
            </w:r>
          </w:p>
        </w:tc>
        <w:tc>
          <w:tcPr>
            <w:tcW w:w="1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interest income</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1,262,107</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1,262,169</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1,262,259</w:t>
            </w: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interest expense</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427,215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427,215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458,290</w:t>
            </w:r>
          </w:p>
        </w:tc>
        <w:tc>
          <w:tcPr>
            <w:tcW w:w="0" w:type="dxa"/>
            <w:vAlign w:val="bottom"/>
          </w:tcPr>
          <w:p>
            <w:pPr>
              <w:spacing w:after="0"/>
              <w:rPr>
                <w:sz w:val="1"/>
                <w:szCs w:val="1"/>
                <w:color w:val="auto"/>
              </w:rPr>
            </w:pPr>
          </w:p>
        </w:tc>
      </w:tr>
      <w:tr>
        <w:trPr>
          <w:trHeight w:val="202"/>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income</w:t>
            </w: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834,892</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834,954</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(30,985)</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803,969</w:t>
            </w: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107,457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107,457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107,457</w:t>
            </w:r>
          </w:p>
        </w:tc>
        <w:tc>
          <w:tcPr>
            <w:tcW w:w="0" w:type="dxa"/>
            <w:vAlign w:val="bottom"/>
          </w:tcPr>
          <w:p>
            <w:pPr>
              <w:spacing w:after="0"/>
              <w:rPr>
                <w:sz w:val="1"/>
                <w:szCs w:val="1"/>
                <w:color w:val="auto"/>
              </w:rPr>
            </w:pPr>
          </w:p>
        </w:tc>
      </w:tr>
      <w:tr>
        <w:trPr>
          <w:trHeight w:val="209"/>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 income</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148,434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35,388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183,822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181,880</w:t>
            </w: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Salaries and employee benefits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351,922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16,641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368,563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368,563</w:t>
            </w:r>
          </w:p>
        </w:tc>
        <w:tc>
          <w:tcPr>
            <w:tcW w:w="0" w:type="dxa"/>
            <w:vAlign w:val="bottom"/>
          </w:tcPr>
          <w:p>
            <w:pPr>
              <w:spacing w:after="0"/>
              <w:rPr>
                <w:sz w:val="1"/>
                <w:szCs w:val="1"/>
                <w:color w:val="auto"/>
              </w:rPr>
            </w:pPr>
          </w:p>
        </w:tc>
      </w:tr>
      <w:tr>
        <w:trPr>
          <w:trHeight w:val="209"/>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occupancy and equipment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63,551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63,651</w:t>
            </w: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Other segment expenses</w:t>
            </w:r>
            <w:r>
              <w:rPr>
                <w:rFonts w:ascii="Times New Roman" w:cs="Times New Roman" w:eastAsia="Times New Roman" w:hAnsi="Times New Roman"/>
                <w:sz w:val="20"/>
                <w:szCs w:val="20"/>
                <w:color w:val="auto"/>
                <w:vertAlign w:val="superscript"/>
              </w:rPr>
              <w:t>(1)</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210,967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7,162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218,129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219,446</w:t>
            </w:r>
          </w:p>
        </w:tc>
        <w:tc>
          <w:tcPr>
            <w:tcW w:w="0" w:type="dxa"/>
            <w:vAlign w:val="bottom"/>
          </w:tcPr>
          <w:p>
            <w:pPr>
              <w:spacing w:after="0"/>
              <w:rPr>
                <w:sz w:val="1"/>
                <w:szCs w:val="1"/>
                <w:color w:val="auto"/>
              </w:rPr>
            </w:pPr>
          </w:p>
        </w:tc>
      </w:tr>
      <w:tr>
        <w:trPr>
          <w:trHeight w:val="202"/>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250,339</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10,737</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261,076</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(34,344)</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226,732</w:t>
            </w: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53,578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54,196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45,460</w:t>
            </w:r>
          </w:p>
        </w:tc>
        <w:tc>
          <w:tcPr>
            <w:tcW w:w="0" w:type="dxa"/>
            <w:vAlign w:val="bottom"/>
          </w:tcPr>
          <w:p>
            <w:pPr>
              <w:spacing w:after="0"/>
              <w:rPr>
                <w:sz w:val="1"/>
                <w:szCs w:val="1"/>
                <w:color w:val="auto"/>
              </w:rPr>
            </w:pPr>
          </w:p>
        </w:tc>
      </w:tr>
      <w:tr>
        <w:trPr>
          <w:trHeight w:val="202"/>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196,761</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10,119</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206,880</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(25,608)</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181,272</w:t>
            </w:r>
          </w:p>
        </w:tc>
        <w:tc>
          <w:tcPr>
            <w:tcW w:w="0" w:type="dxa"/>
            <w:vAlign w:val="bottom"/>
          </w:tcPr>
          <w:p>
            <w:pPr>
              <w:spacing w:after="0"/>
              <w:rPr>
                <w:sz w:val="1"/>
                <w:szCs w:val="1"/>
                <w:color w:val="auto"/>
              </w:rPr>
            </w:pPr>
          </w:p>
        </w:tc>
      </w:tr>
      <w:tr>
        <w:trPr>
          <w:trHeight w:val="20"/>
        </w:trPr>
        <w:tc>
          <w:tcPr>
            <w:tcW w:w="2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26,739,293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8,344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26,747,637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26,751,426</w:t>
            </w:r>
          </w:p>
        </w:tc>
        <w:tc>
          <w:tcPr>
            <w:tcW w:w="0" w:type="dxa"/>
            <w:vAlign w:val="bottom"/>
          </w:tcPr>
          <w:p>
            <w:pPr>
              <w:spacing w:after="0"/>
              <w:rPr>
                <w:sz w:val="1"/>
                <w:szCs w:val="1"/>
                <w:color w:val="auto"/>
              </w:rPr>
            </w:pPr>
          </w:p>
        </w:tc>
      </w:tr>
      <w:tr>
        <w:trPr>
          <w:trHeight w:val="207"/>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1,405,840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1,405,840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1,405,840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 Segment Reporting (continued)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Community</w:t>
            </w:r>
          </w:p>
        </w:tc>
        <w:tc>
          <w:tcPr>
            <w:tcW w:w="220" w:type="dxa"/>
            <w:vAlign w:val="bottom"/>
          </w:tcPr>
          <w:p>
            <w:pPr>
              <w:spacing w:after="0"/>
              <w:rPr>
                <w:sz w:val="16"/>
                <w:szCs w:val="16"/>
                <w:color w:val="auto"/>
              </w:rPr>
            </w:pPr>
          </w:p>
        </w:tc>
        <w:tc>
          <w:tcPr>
            <w:tcW w:w="1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Wealth</w:t>
            </w:r>
          </w:p>
        </w:tc>
        <w:tc>
          <w:tcPr>
            <w:tcW w:w="120" w:type="dxa"/>
            <w:vAlign w:val="bottom"/>
          </w:tcPr>
          <w:p>
            <w:pPr>
              <w:spacing w:after="0"/>
              <w:rPr>
                <w:sz w:val="16"/>
                <w:szCs w:val="16"/>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Total Segments</w:t>
            </w:r>
          </w:p>
        </w:tc>
        <w:tc>
          <w:tcPr>
            <w:tcW w:w="280" w:type="dxa"/>
            <w:vAlign w:val="bottom"/>
          </w:tcPr>
          <w:p>
            <w:pPr>
              <w:spacing w:after="0"/>
              <w:rPr>
                <w:sz w:val="16"/>
                <w:szCs w:val="16"/>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6"/>
                <w:szCs w:val="16"/>
                <w:color w:val="auto"/>
              </w:rPr>
            </w:pPr>
          </w:p>
        </w:tc>
        <w:tc>
          <w:tcPr>
            <w:tcW w:w="1160" w:type="dxa"/>
            <w:vAlign w:val="bottom"/>
            <w:vMerge w:val="restart"/>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0"/>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Banks</w:t>
            </w:r>
          </w:p>
        </w:tc>
        <w:tc>
          <w:tcPr>
            <w:tcW w:w="2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Management</w:t>
            </w:r>
          </w:p>
        </w:tc>
        <w:tc>
          <w:tcPr>
            <w:tcW w:w="1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interest income</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886,666</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942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887,672</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887,777</w:t>
            </w: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interest expense</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348,199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348,199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375,581</w:t>
            </w:r>
          </w:p>
        </w:tc>
        <w:tc>
          <w:tcPr>
            <w:tcW w:w="0" w:type="dxa"/>
            <w:vAlign w:val="bottom"/>
          </w:tcPr>
          <w:p>
            <w:pPr>
              <w:spacing w:after="0"/>
              <w:rPr>
                <w:sz w:val="1"/>
                <w:szCs w:val="1"/>
                <w:color w:val="auto"/>
              </w:rPr>
            </w:pPr>
          </w:p>
        </w:tc>
      </w:tr>
      <w:tr>
        <w:trPr>
          <w:trHeight w:val="202"/>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income</w:t>
            </w: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538,467</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942</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539,473</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(27,277)</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512,196</w:t>
            </w: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9,273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9,273</w:t>
            </w:r>
          </w:p>
        </w:tc>
        <w:tc>
          <w:tcPr>
            <w:tcW w:w="0" w:type="dxa"/>
            <w:vAlign w:val="bottom"/>
          </w:tcPr>
          <w:p>
            <w:pPr>
              <w:spacing w:after="0"/>
              <w:rPr>
                <w:sz w:val="1"/>
                <w:szCs w:val="1"/>
                <w:color w:val="auto"/>
              </w:rPr>
            </w:pPr>
          </w:p>
        </w:tc>
      </w:tr>
      <w:tr>
        <w:trPr>
          <w:trHeight w:val="209"/>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 income</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172,877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6,473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25,873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205,223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203,660</w:t>
            </w: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Salaries and employee benefits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266,639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13,484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283,768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283,768</w:t>
            </w:r>
          </w:p>
        </w:tc>
        <w:tc>
          <w:tcPr>
            <w:tcW w:w="0" w:type="dxa"/>
            <w:vAlign w:val="bottom"/>
          </w:tcPr>
          <w:p>
            <w:pPr>
              <w:spacing w:after="0"/>
              <w:rPr>
                <w:sz w:val="1"/>
                <w:szCs w:val="1"/>
                <w:color w:val="auto"/>
              </w:rPr>
            </w:pPr>
          </w:p>
        </w:tc>
      </w:tr>
      <w:tr>
        <w:trPr>
          <w:trHeight w:val="209"/>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occupancy and equipment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45,960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45,960</w:t>
            </w: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Other segment expenses</w:t>
            </w:r>
            <w:r>
              <w:rPr>
                <w:rFonts w:ascii="Times New Roman" w:cs="Times New Roman" w:eastAsia="Times New Roman" w:hAnsi="Times New Roman"/>
                <w:sz w:val="20"/>
                <w:szCs w:val="20"/>
                <w:color w:val="auto"/>
                <w:vertAlign w:val="superscript"/>
              </w:rPr>
              <w:t>(2)</w:t>
            </w: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125,678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584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4,362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130,624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131,890</w:t>
            </w:r>
          </w:p>
        </w:tc>
        <w:tc>
          <w:tcPr>
            <w:tcW w:w="0" w:type="dxa"/>
            <w:vAlign w:val="bottom"/>
          </w:tcPr>
          <w:p>
            <w:pPr>
              <w:spacing w:after="0"/>
              <w:rPr>
                <w:sz w:val="1"/>
                <w:szCs w:val="1"/>
                <w:color w:val="auto"/>
              </w:rPr>
            </w:pPr>
          </w:p>
        </w:tc>
      </w:tr>
      <w:tr>
        <w:trPr>
          <w:trHeight w:val="202"/>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264,765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3,023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7,283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275,071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(30,106)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244,965</w:t>
            </w: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w:t>
            </w: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56,369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785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57,350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49,508</w:t>
            </w:r>
          </w:p>
        </w:tc>
        <w:tc>
          <w:tcPr>
            <w:tcW w:w="0" w:type="dxa"/>
            <w:vAlign w:val="bottom"/>
          </w:tcPr>
          <w:p>
            <w:pPr>
              <w:spacing w:after="0"/>
              <w:rPr>
                <w:sz w:val="1"/>
                <w:szCs w:val="1"/>
                <w:color w:val="auto"/>
              </w:rPr>
            </w:pPr>
          </w:p>
        </w:tc>
      </w:tr>
      <w:tr>
        <w:trPr>
          <w:trHeight w:val="202"/>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208,396</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2,238</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7,087</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217,721</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(22,264)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195,457</w:t>
            </w:r>
          </w:p>
        </w:tc>
        <w:tc>
          <w:tcPr>
            <w:tcW w:w="0" w:type="dxa"/>
            <w:vAlign w:val="bottom"/>
          </w:tcPr>
          <w:p>
            <w:pPr>
              <w:spacing w:after="0"/>
              <w:rPr>
                <w:sz w:val="1"/>
                <w:szCs w:val="1"/>
                <w:color w:val="auto"/>
              </w:rPr>
            </w:pPr>
          </w:p>
        </w:tc>
      </w:tr>
      <w:tr>
        <w:trPr>
          <w:trHeight w:val="20"/>
        </w:trPr>
        <w:tc>
          <w:tcPr>
            <w:tcW w:w="2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18,033,458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3,392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18,036,850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18,034,868</w:t>
            </w:r>
          </w:p>
        </w:tc>
        <w:tc>
          <w:tcPr>
            <w:tcW w:w="0" w:type="dxa"/>
            <w:vAlign w:val="bottom"/>
          </w:tcPr>
          <w:p>
            <w:pPr>
              <w:spacing w:after="0"/>
              <w:rPr>
                <w:sz w:val="1"/>
                <w:szCs w:val="1"/>
                <w:color w:val="auto"/>
              </w:rPr>
            </w:pPr>
          </w:p>
        </w:tc>
      </w:tr>
      <w:tr>
        <w:trPr>
          <w:trHeight w:val="209"/>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988,898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988,898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988,898</w:t>
            </w: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interest income</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795,500</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1,653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797,221</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797,319</w:t>
            </w: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interest expense</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251,026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251,026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277,992</w:t>
            </w:r>
          </w:p>
        </w:tc>
        <w:tc>
          <w:tcPr>
            <w:tcW w:w="0" w:type="dxa"/>
            <w:vAlign w:val="bottom"/>
          </w:tcPr>
          <w:p>
            <w:pPr>
              <w:spacing w:after="0"/>
              <w:rPr>
                <w:sz w:val="1"/>
                <w:szCs w:val="1"/>
                <w:color w:val="auto"/>
              </w:rPr>
            </w:pPr>
          </w:p>
        </w:tc>
      </w:tr>
      <w:tr>
        <w:trPr>
          <w:trHeight w:val="202"/>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income</w:t>
            </w: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544,474</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1,653</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546,195</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(26,868)</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519,327</w:t>
            </w: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15,593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15,593</w:t>
            </w:r>
          </w:p>
        </w:tc>
        <w:tc>
          <w:tcPr>
            <w:tcW w:w="0" w:type="dxa"/>
            <w:vAlign w:val="bottom"/>
          </w:tcPr>
          <w:p>
            <w:pPr>
              <w:spacing w:after="0"/>
              <w:rPr>
                <w:sz w:val="1"/>
                <w:szCs w:val="1"/>
                <w:color w:val="auto"/>
              </w:rPr>
            </w:pPr>
          </w:p>
        </w:tc>
      </w:tr>
      <w:tr>
        <w:trPr>
          <w:trHeight w:val="209"/>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 income</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12,578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25,311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114,019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113,075</w:t>
            </w: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Salaries and employee benefits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262,325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7,038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12,405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281,768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281,768</w:t>
            </w:r>
          </w:p>
        </w:tc>
        <w:tc>
          <w:tcPr>
            <w:tcW w:w="0" w:type="dxa"/>
            <w:vAlign w:val="bottom"/>
          </w:tcPr>
          <w:p>
            <w:pPr>
              <w:spacing w:after="0"/>
              <w:rPr>
                <w:sz w:val="1"/>
                <w:szCs w:val="1"/>
                <w:color w:val="auto"/>
              </w:rPr>
            </w:pPr>
          </w:p>
        </w:tc>
      </w:tr>
      <w:tr>
        <w:trPr>
          <w:trHeight w:val="209"/>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occupancy and equipment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46,471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46,471</w:t>
            </w: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Other segment expenses</w:t>
            </w:r>
            <w:r>
              <w:rPr>
                <w:rFonts w:ascii="Times New Roman" w:cs="Times New Roman" w:eastAsia="Times New Roman" w:hAnsi="Times New Roman"/>
                <w:sz w:val="20"/>
                <w:szCs w:val="20"/>
                <w:color w:val="auto"/>
                <w:vertAlign w:val="superscript"/>
              </w:rPr>
              <w:t>(3)</w:t>
            </w: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102,221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1,176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6,461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109,858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111,383</w:t>
            </w:r>
          </w:p>
        </w:tc>
        <w:tc>
          <w:tcPr>
            <w:tcW w:w="0" w:type="dxa"/>
            <w:vAlign w:val="bottom"/>
          </w:tcPr>
          <w:p>
            <w:pPr>
              <w:spacing w:after="0"/>
              <w:rPr>
                <w:sz w:val="1"/>
                <w:szCs w:val="1"/>
                <w:color w:val="auto"/>
              </w:rPr>
            </w:pPr>
          </w:p>
        </w:tc>
      </w:tr>
      <w:tr>
        <w:trPr>
          <w:trHeight w:val="202"/>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195,162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5,579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5,783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206,524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(29,337)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177,187</w:t>
            </w: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w:t>
            </w: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38,597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1,452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40,086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32,509</w:t>
            </w:r>
          </w:p>
        </w:tc>
        <w:tc>
          <w:tcPr>
            <w:tcW w:w="0" w:type="dxa"/>
            <w:vAlign w:val="bottom"/>
          </w:tcPr>
          <w:p>
            <w:pPr>
              <w:spacing w:after="0"/>
              <w:rPr>
                <w:sz w:val="1"/>
                <w:szCs w:val="1"/>
                <w:color w:val="auto"/>
              </w:rPr>
            </w:pPr>
          </w:p>
        </w:tc>
      </w:tr>
      <w:tr>
        <w:trPr>
          <w:trHeight w:val="202"/>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156,565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4,127</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5,746</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166,438</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(21,760)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144,678</w:t>
            </w:r>
          </w:p>
        </w:tc>
        <w:tc>
          <w:tcPr>
            <w:tcW w:w="0" w:type="dxa"/>
            <w:vAlign w:val="bottom"/>
          </w:tcPr>
          <w:p>
            <w:pPr>
              <w:spacing w:after="0"/>
              <w:rPr>
                <w:sz w:val="1"/>
                <w:szCs w:val="1"/>
                <w:color w:val="auto"/>
              </w:rPr>
            </w:pPr>
          </w:p>
        </w:tc>
      </w:tr>
      <w:tr>
        <w:trPr>
          <w:trHeight w:val="20"/>
        </w:trPr>
        <w:tc>
          <w:tcPr>
            <w:tcW w:w="2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17,313,704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40,405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6,590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17,360,699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17,360,535</w:t>
            </w:r>
          </w:p>
        </w:tc>
        <w:tc>
          <w:tcPr>
            <w:tcW w:w="0" w:type="dxa"/>
            <w:vAlign w:val="bottom"/>
          </w:tcPr>
          <w:p>
            <w:pPr>
              <w:spacing w:after="0"/>
              <w:rPr>
                <w:sz w:val="1"/>
                <w:szCs w:val="1"/>
                <w:color w:val="auto"/>
              </w:rPr>
            </w:pPr>
          </w:p>
        </w:tc>
      </w:tr>
      <w:tr>
        <w:trPr>
          <w:trHeight w:val="207"/>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988,898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2,767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991,665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991,665</w:t>
            </w: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ind w:left="480" w:hanging="317"/>
        <w:spacing w:after="0" w:line="233" w:lineRule="auto"/>
        <w:tabs>
          <w:tab w:leader="none" w:pos="550" w:val="left"/>
        </w:tabs>
        <w:numPr>
          <w:ilvl w:val="0"/>
          <w:numId w:val="4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segment expenses for Community Banks include data processing, other real estate owned, legal and professional fees, advertising and public relations, intangible amortization, communications, merger and conversion-related expenses and other miscellaneous expenses. Other segment expenses for Wealth Management include data processing, legal and professional fees, advertising and public relations, intangible amortization, communications and other miscellaneous expenses.</w:t>
      </w:r>
    </w:p>
    <w:p>
      <w:pPr>
        <w:spacing w:after="0" w:line="140" w:lineRule="exact"/>
        <w:rPr>
          <w:rFonts w:ascii="Times New Roman" w:cs="Times New Roman" w:eastAsia="Times New Roman" w:hAnsi="Times New Roman"/>
          <w:sz w:val="23"/>
          <w:szCs w:val="23"/>
          <w:color w:val="auto"/>
          <w:vertAlign w:val="superscript"/>
        </w:rPr>
      </w:pPr>
    </w:p>
    <w:p>
      <w:pPr>
        <w:jc w:val="both"/>
        <w:ind w:left="480" w:hanging="317"/>
        <w:spacing w:after="0" w:line="235" w:lineRule="auto"/>
        <w:tabs>
          <w:tab w:leader="none" w:pos="490" w:val="left"/>
        </w:tabs>
        <w:numPr>
          <w:ilvl w:val="0"/>
          <w:numId w:val="4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segment expenses for Community Banks include data processing, other real estate owned, legal and professional fees, advertising and public relations, intangible amortization, communications, merger and conversion-related expenses and other miscellaneous expenses. Other segment expenses for Insurance include data processing, legal and professional fees, advertising and public relations, communications and other miscellaneous expenses. Other segment expenses for Wealth Management include data processing, legal and professional fees, advertising and public relations, intangible amortization, communications and other miscellaneous expenses.</w:t>
      </w:r>
    </w:p>
    <w:p>
      <w:pPr>
        <w:spacing w:after="0" w:line="140" w:lineRule="exact"/>
        <w:rPr>
          <w:rFonts w:ascii="Times New Roman" w:cs="Times New Roman" w:eastAsia="Times New Roman" w:hAnsi="Times New Roman"/>
          <w:sz w:val="23"/>
          <w:szCs w:val="23"/>
          <w:color w:val="auto"/>
          <w:vertAlign w:val="superscript"/>
        </w:rPr>
      </w:pPr>
    </w:p>
    <w:p>
      <w:pPr>
        <w:jc w:val="both"/>
        <w:ind w:left="480" w:hanging="317"/>
        <w:spacing w:after="0" w:line="235" w:lineRule="auto"/>
        <w:tabs>
          <w:tab w:leader="none" w:pos="490" w:val="left"/>
        </w:tabs>
        <w:numPr>
          <w:ilvl w:val="0"/>
          <w:numId w:val="4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segment expenses for Community Banks include data processing, other real estate owned, legal and professional fees, advertising and public relations, intangible amortization, communications and other miscellaneous expenses. Other segment expenses for Insurance include data processing, legal and professional fees, advertising and public relations, communications and other miscellaneous expenses. Other segment expenses for Wealth Management include data processing, legal and professional fees, advertising and public relations, intangible amortization, communications and other miscellaneous expenses.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 Renasant Corporation (Parent Company Only) Condensed Financial Information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72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303,387</w:t>
            </w:r>
          </w:p>
        </w:tc>
        <w:tc>
          <w:tcPr>
            <w:tcW w:w="100" w:type="dxa"/>
            <w:vAlign w:val="bottom"/>
          </w:tcPr>
          <w:p>
            <w:pPr>
              <w:spacing w:after="0"/>
              <w:rPr>
                <w:sz w:val="19"/>
                <w:szCs w:val="19"/>
                <w:color w:val="auto"/>
              </w:rPr>
            </w:pPr>
          </w:p>
        </w:tc>
        <w:tc>
          <w:tcPr>
            <w:tcW w:w="4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405,782</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4,050,288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2,694,503</w:t>
            </w:r>
          </w:p>
        </w:tc>
        <w:tc>
          <w:tcPr>
            <w:tcW w:w="0" w:type="dxa"/>
            <w:vAlign w:val="bottom"/>
          </w:tcPr>
          <w:p>
            <w:pPr>
              <w:spacing w:after="0"/>
              <w:rPr>
                <w:sz w:val="1"/>
                <w:szCs w:val="1"/>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 receivable on bank balances</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49,344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30,726</w:t>
            </w:r>
          </w:p>
        </w:tc>
        <w:tc>
          <w:tcPr>
            <w:tcW w:w="0" w:type="dxa"/>
            <w:vAlign w:val="bottom"/>
          </w:tcPr>
          <w:p>
            <w:pPr>
              <w:spacing w:after="0"/>
              <w:rPr>
                <w:sz w:val="1"/>
                <w:szCs w:val="1"/>
                <w:color w:val="auto"/>
              </w:rPr>
            </w:pPr>
          </w:p>
        </w:tc>
      </w:tr>
      <w:tr>
        <w:trPr>
          <w:trHeight w:val="21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4,403,021</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3,131,038</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72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Junior subordinated debentures</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140,632</w:t>
            </w:r>
          </w:p>
        </w:tc>
        <w:tc>
          <w:tcPr>
            <w:tcW w:w="100" w:type="dxa"/>
            <w:vAlign w:val="bottom"/>
          </w:tcPr>
          <w:p>
            <w:pPr>
              <w:spacing w:after="0"/>
              <w:rPr>
                <w:sz w:val="19"/>
                <w:szCs w:val="19"/>
                <w:color w:val="auto"/>
              </w:rPr>
            </w:pPr>
          </w:p>
        </w:tc>
        <w:tc>
          <w:tcPr>
            <w:tcW w:w="4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113,916</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Subordinated notes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359,123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316,698</w:t>
            </w:r>
          </w:p>
        </w:tc>
        <w:tc>
          <w:tcPr>
            <w:tcW w:w="0" w:type="dxa"/>
            <w:vAlign w:val="bottom"/>
          </w:tcPr>
          <w:p>
            <w:pPr>
              <w:spacing w:after="0"/>
              <w:rPr>
                <w:sz w:val="1"/>
                <w:szCs w:val="1"/>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22,106</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3,884,905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2,678,318</w:t>
            </w:r>
          </w:p>
        </w:tc>
        <w:tc>
          <w:tcPr>
            <w:tcW w:w="0" w:type="dxa"/>
            <w:vAlign w:val="bottom"/>
          </w:tcPr>
          <w:p>
            <w:pPr>
              <w:spacing w:after="0"/>
              <w:rPr>
                <w:sz w:val="1"/>
                <w:szCs w:val="1"/>
                <w:color w:val="auto"/>
              </w:rPr>
            </w:pPr>
          </w:p>
        </w:tc>
      </w:tr>
      <w:tr>
        <w:trPr>
          <w:trHeight w:val="21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4,403,021</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3,131,038</w:t>
            </w: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Statements of Income</w:t>
            </w: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7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7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from subsidiaries</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101,764</w:t>
            </w:r>
          </w:p>
        </w:tc>
        <w:tc>
          <w:tcPr>
            <w:tcW w:w="44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75,907</w:t>
            </w:r>
          </w:p>
        </w:tc>
        <w:tc>
          <w:tcPr>
            <w:tcW w:w="100" w:type="dxa"/>
            <w:vAlign w:val="bottom"/>
          </w:tcPr>
          <w:p>
            <w:pPr>
              <w:spacing w:after="0"/>
              <w:rPr>
                <w:sz w:val="19"/>
                <w:szCs w:val="19"/>
                <w:color w:val="auto"/>
              </w:rPr>
            </w:pPr>
          </w:p>
        </w:tc>
        <w:tc>
          <w:tcPr>
            <w:tcW w:w="4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72,042</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from subsidiaries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dividends</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1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income</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102,292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76,570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73,249</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30,544</w:t>
            </w:r>
          </w:p>
        </w:tc>
        <w:tc>
          <w:tcPr>
            <w:tcW w:w="0" w:type="dxa"/>
            <w:vAlign w:val="bottom"/>
          </w:tcPr>
          <w:p>
            <w:pPr>
              <w:spacing w:after="0"/>
              <w:rPr>
                <w:sz w:val="1"/>
                <w:szCs w:val="1"/>
                <w:color w:val="auto"/>
              </w:rPr>
            </w:pPr>
          </w:p>
        </w:tc>
      </w:tr>
      <w:tr>
        <w:trPr>
          <w:trHeight w:val="21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 benefit and equity in undistributed net income of bank subsidiary</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42,705</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(7,577)</w:t>
            </w:r>
          </w:p>
        </w:tc>
        <w:tc>
          <w:tcPr>
            <w:tcW w:w="0" w:type="dxa"/>
            <w:vAlign w:val="bottom"/>
          </w:tcPr>
          <w:p>
            <w:pPr>
              <w:spacing w:after="0"/>
              <w:rPr>
                <w:sz w:val="1"/>
                <w:szCs w:val="1"/>
                <w:color w:val="auto"/>
              </w:rPr>
            </w:pPr>
          </w:p>
        </w:tc>
      </w:tr>
      <w:tr>
        <w:trPr>
          <w:trHeight w:val="224"/>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Equity in undistributed net income of subsidiaries</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105,008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141,813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94,396</w:t>
            </w:r>
          </w:p>
        </w:tc>
        <w:tc>
          <w:tcPr>
            <w:tcW w:w="0" w:type="dxa"/>
            <w:vAlign w:val="bottom"/>
          </w:tcPr>
          <w:p>
            <w:pPr>
              <w:spacing w:after="0"/>
              <w:rPr>
                <w:sz w:val="1"/>
                <w:szCs w:val="1"/>
                <w:color w:val="auto"/>
              </w:rPr>
            </w:pPr>
          </w:p>
        </w:tc>
      </w:tr>
      <w:tr>
        <w:trPr>
          <w:trHeight w:val="242"/>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181,272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195,457</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144,678</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 Renasant Corporation (Parent Company Only) Condensed Financial Information (continued)</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181,272</w:t>
            </w:r>
          </w:p>
        </w:tc>
        <w:tc>
          <w:tcPr>
            <w:tcW w:w="44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195,457</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144,678</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undistributed net income of subsidiaries</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(94,396)</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Amortization/depreciation</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w:t>
            </w: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increase in other assets</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(8,824)</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increase in other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8,921</w:t>
            </w:r>
          </w:p>
        </w:tc>
      </w:tr>
      <w:tr>
        <w:trPr>
          <w:trHeight w:val="217"/>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72,912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52,149</w:t>
            </w:r>
          </w:p>
        </w:tc>
      </w:tr>
      <w:tr>
        <w:trPr>
          <w:trHeight w:val="204"/>
        </w:trPr>
        <w:tc>
          <w:tcPr>
            <w:tcW w:w="672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Investing activities</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paid in acquisition</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investing activities</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(24,115)</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4"/>
        </w:trPr>
        <w:tc>
          <w:tcPr>
            <w:tcW w:w="672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Financing activities</w:t>
            </w: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dividends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(50,279)</w:t>
            </w: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shares in connection with stock repurchase program</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equity offering</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(91,940)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163,273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(50,279)</w:t>
            </w:r>
          </w:p>
        </w:tc>
      </w:tr>
      <w:tr>
        <w:trPr>
          <w:trHeight w:val="21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(Decrease) increase in cash and cash equivalents</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(102,395)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236,185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w:t>
            </w:r>
          </w:p>
        </w:tc>
      </w:tr>
      <w:tr>
        <w:trPr>
          <w:trHeight w:val="224"/>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year</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405,782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169,597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167,727</w:t>
            </w:r>
          </w:p>
        </w:tc>
      </w:tr>
      <w:tr>
        <w:trPr>
          <w:trHeight w:val="242"/>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year</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303,387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405,782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169,597</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18"/>
          <w:szCs w:val="18"/>
          <w:color w:val="auto"/>
        </w:rPr>
        <w:t>Renasant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24 – Leases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enters into leases in both lessor and lessee capacities.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Arrangements</w:t>
      </w:r>
    </w:p>
    <w:p>
      <w:pPr>
        <w:spacing w:after="0" w:line="13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finances various types of equipment arrangements for customers through operating, direct financing and sales-type leases. As of December 31, 2025 and 2024, the net investment in these leases was $29,531 and $30,846, comprised of $25,124 and $26,655 in lease receivables, $8,035 and $7,961 in residual balances and $3,628 and $3,770 in deferred income, respectively. In order to mitigate potential exposure to residual asset risk, the Company utilizes first amendment or terminal rental adjustment clause leases.</w:t>
      </w:r>
    </w:p>
    <w:p>
      <w:pPr>
        <w:spacing w:after="0" w:line="21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For the years ended December 31, 2025 and 2024, the Company generated $960 and $1,080 in income from these leases, respectively, which is included in interest income on loans on the Consolidated Statements of Income.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maturities of the lessor arrangements outstanding at December 31, 2025 is presented in the table below.</w:t>
            </w:r>
          </w:p>
        </w:tc>
        <w:tc>
          <w:tcPr>
            <w:tcW w:w="8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90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86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8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18,996</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0"/>
                <w:szCs w:val="20"/>
                <w:color w:val="auto"/>
              </w:rPr>
            </w:pPr>
          </w:p>
        </w:tc>
        <w:tc>
          <w:tcPr>
            <w:tcW w:w="9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receivables</w:t>
            </w:r>
          </w:p>
        </w:tc>
        <w:tc>
          <w:tcPr>
            <w:tcW w:w="860" w:type="dxa"/>
            <w:vAlign w:val="bottom"/>
            <w:tcBorders>
              <w:bottom w:val="single" w:sz="8" w:color="auto"/>
            </w:tcBorders>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 Arrangements</w:t>
      </w:r>
    </w:p>
    <w:p>
      <w:pPr>
        <w:spacing w:after="0" w:line="1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2025 and 2024, right-of-use assets totaled $55,920 and $46,811 and lease liabilities totaled $57,227 and $49,385, respectively. These amounts are included in “Premises and equipment, net” and “Other liabilities” on the Consolidated Balance Sheets. The table below provides the components of lease cost and supplemental information for the periods presented.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58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Year ended December 31,</w:t>
            </w:r>
          </w:p>
        </w:tc>
        <w:tc>
          <w:tcPr>
            <w:tcW w:w="1340" w:type="dxa"/>
            <w:vAlign w:val="bottom"/>
            <w:tcBorders>
              <w:bottom w:val="single" w:sz="8" w:color="auto"/>
            </w:tcBorders>
          </w:tcPr>
          <w:p>
            <w:pPr>
              <w:spacing w:after="0"/>
              <w:rPr>
                <w:sz w:val="20"/>
                <w:szCs w:val="20"/>
                <w:color w:val="auto"/>
              </w:rPr>
            </w:pPr>
          </w:p>
        </w:tc>
      </w:tr>
      <w:tr>
        <w:trPr>
          <w:trHeight w:val="217"/>
        </w:trPr>
        <w:tc>
          <w:tcPr>
            <w:tcW w:w="658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872"/>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17"/>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 (cost resulting from lease payments)</w:t>
            </w:r>
          </w:p>
        </w:tc>
        <w:tc>
          <w:tcPr>
            <w:tcW w:w="1340" w:type="dxa"/>
            <w:vAlign w:val="bottom"/>
            <w:shd w:val="clear" w:color="auto" w:fill="CCEEFF"/>
          </w:tcPr>
          <w:p>
            <w:pPr>
              <w:jc w:val="right"/>
              <w:ind w:right="11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8,003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6,705</w:t>
            </w:r>
          </w:p>
        </w:tc>
      </w:tr>
      <w:tr>
        <w:trPr>
          <w:trHeight w:val="224"/>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340" w:type="dxa"/>
            <w:vAlign w:val="bottom"/>
          </w:tcPr>
          <w:p>
            <w:pPr>
              <w:spacing w:after="0"/>
              <w:rPr>
                <w:sz w:val="19"/>
                <w:szCs w:val="19"/>
                <w:color w:val="auto"/>
              </w:rPr>
            </w:pP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51</w:t>
            </w:r>
          </w:p>
        </w:tc>
      </w:tr>
      <w:tr>
        <w:trPr>
          <w:trHeight w:val="224"/>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 (cost excluded from lease payments)</w:t>
            </w:r>
          </w:p>
        </w:tc>
        <w:tc>
          <w:tcPr>
            <w:tcW w:w="13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960</w:t>
            </w:r>
          </w:p>
        </w:tc>
      </w:tr>
      <w:tr>
        <w:trPr>
          <w:trHeight w:val="224"/>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1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(1,652)</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(639)</w:t>
            </w:r>
          </w:p>
        </w:tc>
      </w:tr>
      <w:tr>
        <w:trPr>
          <w:trHeight w:val="217"/>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lease cost</w:t>
            </w:r>
          </w:p>
        </w:tc>
        <w:tc>
          <w:tcPr>
            <w:tcW w:w="1340" w:type="dxa"/>
            <w:vAlign w:val="bottom"/>
            <w:shd w:val="clear" w:color="auto" w:fill="CCEEFF"/>
          </w:tcPr>
          <w:p>
            <w:pPr>
              <w:jc w:val="right"/>
              <w:ind w:right="11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7,372</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7,077</w:t>
            </w:r>
          </w:p>
        </w:tc>
      </w:tr>
      <w:tr>
        <w:trPr>
          <w:trHeight w:val="224"/>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 operating cash flows (fixed payments)</w:t>
            </w:r>
          </w:p>
        </w:tc>
        <w:tc>
          <w:tcPr>
            <w:tcW w:w="1340" w:type="dxa"/>
            <w:vAlign w:val="bottom"/>
          </w:tcPr>
          <w:p>
            <w:pPr>
              <w:spacing w:after="0"/>
              <w:rPr>
                <w:sz w:val="19"/>
                <w:szCs w:val="19"/>
                <w:color w:val="auto"/>
              </w:rPr>
            </w:pP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7,643</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6,714</w:t>
            </w:r>
          </w:p>
        </w:tc>
      </w:tr>
      <w:tr>
        <w:trPr>
          <w:trHeight w:val="224"/>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 operating cash flows (liability reduction)</w:t>
            </w:r>
          </w:p>
        </w:tc>
        <w:tc>
          <w:tcPr>
            <w:tcW w:w="13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5,587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4,943</w:t>
            </w:r>
          </w:p>
        </w:tc>
      </w:tr>
      <w:tr>
        <w:trPr>
          <w:trHeight w:val="224"/>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lease term - operating leases (in years) (at period end)</w:t>
            </w:r>
          </w:p>
        </w:tc>
        <w:tc>
          <w:tcPr>
            <w:tcW w:w="1340" w:type="dxa"/>
            <w:vAlign w:val="bottom"/>
          </w:tcPr>
          <w:p>
            <w:pPr>
              <w:spacing w:after="0"/>
              <w:rPr>
                <w:sz w:val="19"/>
                <w:szCs w:val="19"/>
                <w:color w:val="auto"/>
              </w:rPr>
            </w:pP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16.31</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18.11</w:t>
            </w:r>
          </w:p>
        </w:tc>
      </w:tr>
      <w:tr>
        <w:trPr>
          <w:trHeight w:val="224"/>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 operating leases (at period end)</w:t>
            </w:r>
          </w:p>
        </w:tc>
        <w:tc>
          <w:tcPr>
            <w:tcW w:w="1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3.86 %</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3.55 %</w:t>
            </w:r>
          </w:p>
        </w:tc>
      </w:tr>
      <w:tr>
        <w:trPr>
          <w:trHeight w:val="263"/>
        </w:trPr>
        <w:tc>
          <w:tcPr>
            <w:tcW w:w="65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24"/>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lease liabilities - operating leases</w:t>
            </w:r>
          </w:p>
        </w:tc>
        <w:tc>
          <w:tcPr>
            <w:tcW w:w="1340" w:type="dxa"/>
            <w:vAlign w:val="bottom"/>
            <w:shd w:val="clear" w:color="auto" w:fill="CCEEFF"/>
          </w:tcPr>
          <w:p>
            <w:pPr>
              <w:jc w:val="right"/>
              <w:ind w:right="11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18,925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4,630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9040" w:type="dxa"/>
            <w:vAlign w:val="bottom"/>
          </w:tcPr>
          <w:p>
            <w:pPr>
              <w:ind w:left="4240"/>
              <w:spacing w:after="0"/>
              <w:rPr>
                <w:sz w:val="20"/>
                <w:szCs w:val="20"/>
                <w:color w:val="auto"/>
              </w:rPr>
            </w:pPr>
            <w:r>
              <w:rPr>
                <w:rFonts w:ascii="Times New Roman" w:cs="Times New Roman" w:eastAsia="Times New Roman" w:hAnsi="Times New Roman"/>
                <w:sz w:val="18"/>
                <w:szCs w:val="18"/>
                <w:color w:val="auto"/>
              </w:rPr>
              <w:t>Renasant Corporation and Subsidiaries</w:t>
            </w: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40" w:type="dxa"/>
            <w:vAlign w:val="bottom"/>
          </w:tcPr>
          <w:p>
            <w:pPr>
              <w:ind w:left="406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8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24 – Leases (continued)</w:t>
            </w:r>
          </w:p>
        </w:tc>
        <w:tc>
          <w:tcPr>
            <w:tcW w:w="8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4"/>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maturities of the lessee arrangements outstanding at December 31, 2025 are presented in the table below.</w:t>
            </w:r>
          </w:p>
        </w:tc>
        <w:tc>
          <w:tcPr>
            <w:tcW w:w="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90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840" w:type="dxa"/>
            <w:vAlign w:val="bottom"/>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8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8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8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8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8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45,424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8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77,151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Discount on cash flows</w:t>
            </w:r>
          </w:p>
        </w:tc>
        <w:tc>
          <w:tcPr>
            <w:tcW w:w="8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(19,924)</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0"/>
                <w:szCs w:val="20"/>
                <w:color w:val="auto"/>
              </w:rPr>
            </w:pPr>
          </w:p>
        </w:tc>
        <w:tc>
          <w:tcPr>
            <w:tcW w:w="9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840" w:type="dxa"/>
            <w:vAlign w:val="bottom"/>
            <w:tcBorders>
              <w:bottom w:val="single" w:sz="8" w:color="auto"/>
            </w:tcBorders>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Rental expense was $7,545, $6,136, and $6,859 for 2025, 2024, and 2023, respectively.</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on lease accounting, see Note 1, “Significant Accounting Policies” and on lease financing receivables, see Note 4,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48" w:name="page149"/>
    <w:bookmarkEnd w:id="148"/>
    <w:p>
      <w:pPr>
        <w:ind w:right="1300"/>
        <w:spacing w:after="0" w:line="454"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6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Based upon their evaluation as of December 31, 2025, our Principal Executive Officer and Principal Financial Officer have concluded that, due to the material weakness in the Company’s internal control over financial reporting described below, our disclosure controls and procedures (as defined in Rules 13a-15(e) and 15d-15(e) under the Securities Exchange Act of 1934, as amended (the “Exchange Act”)) were not effective as of December 31, 2025 to ensure that information the Company is required to disclose in reports that it files or submits under the Exchange Act is recorded, processed, summarized and reported within the time periods specified in the Securities and Exchange Commission’s rules and forms and that such information is accumulated and communicated to the Company’s management, including its Principal Executive and Principal Financial Officers, or persons performing similar functions, as appropriate to allow timely decisions regarding required disclosure.</w:t>
      </w:r>
    </w:p>
    <w:p>
      <w:pPr>
        <w:spacing w:after="0" w:line="2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However, after giving full consideration to the material weakness described below as well as other factors, including the additional analysis and procedures undertaken by management that have been designed to ensure that information required to be disclosed in the reports that the Company files with, or furnishes to, the Securities and Exchange Commission is communicated to our management to allow timely decisions regarding required disclosure, our management has concluded that the consolidated financial statements included in Item 8, Financial Statements and Supplementary Data, in this report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8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 and Attestation Report of the Independent Registered Public Accounting Firm</w:t>
      </w:r>
    </w:p>
    <w:p>
      <w:pPr>
        <w:spacing w:after="0" w:line="1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responsible for the preparation, integrity and fair presentation of the consolidated financial statements included in this annual report. The consolidated financial statements and notes included in this annual report have been prepared in conformity with accounting principles generally accepted in the United States and necessarily include some amounts that are based on management’s best estimates and judgments.</w:t>
      </w:r>
    </w:p>
    <w:p>
      <w:pPr>
        <w:spacing w:after="0" w:line="12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effective internal control over financial reporting designed to provide reasonable assurance regarding the reliability of financial reporting and the preparation of financial statements for external purposes in accordance with accounting principles generally accepted in the United States. The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accounting principles generally accepted in the United States of America and that receipts and expenditures of the Company are being made only in accordance with authorizations of management and directors of the Company; and (3) provide reasonable assurance regarding prevention or timely detection of any unauthorized acquisition, use or disposition of the Company’s assets that could have a material effect on the financial statements.</w:t>
      </w:r>
    </w:p>
    <w:p>
      <w:pPr>
        <w:spacing w:after="0" w:line="13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system of internal control over financial reporting as it relates to the financial statements is evaluated for effectiveness by management and tested for reliability through a program of internal audits. Actions are taken to correct potential deficiencies as they are identified. Any system of internal control, no matter how well designed, has inherent limitations, including the possibility that a control can be circumvented or overridden, and misstatements due to error or fraud may occur and not be detected. Also, the effectiveness of internal control may vary over time as conditions change. Accordingly, even an effective system of internal control will provide only reasonable assurance with respect to financial statement preparation.</w:t>
      </w:r>
    </w:p>
    <w:p>
      <w:pPr>
        <w:spacing w:after="0" w:line="13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Management, with the participation of the Company’s principal executive officer and principal financial officer, conducted an assessment of the effectiveness of the Company’s system of internal control over financial reporting as of December 31, 2025, based on criteria for effective internal control over financial reporting described in the “Internal Control - Integrated Framework,” (2013) issued by the Committee of Sponsoring Organizations of the Treadway Commission. Based on this assessment, management has concluded that, as of December 31, 2025, the Company’s system of internal control over financial</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03" w:right="339" w:bottom="1440" w:gutter="0" w:footer="0" w:header="0"/>
        </w:sectPr>
      </w:pPr>
    </w:p>
    <w:bookmarkStart w:id="149" w:name="page150"/>
    <w:bookmarkEnd w:id="149"/>
    <w:p>
      <w:pPr>
        <w:jc w:val="both"/>
        <w:spacing w:after="0" w:line="256" w:lineRule="auto"/>
        <w:rPr>
          <w:sz w:val="20"/>
          <w:szCs w:val="20"/>
          <w:color w:val="auto"/>
        </w:rPr>
      </w:pPr>
      <w:r>
        <w:rPr>
          <w:rFonts w:ascii="Times New Roman" w:cs="Times New Roman" w:eastAsia="Times New Roman" w:hAnsi="Times New Roman"/>
          <w:sz w:val="18"/>
          <w:szCs w:val="18"/>
          <w:color w:val="auto"/>
        </w:rPr>
        <w:t>reporting was not effective because of the material weakness in internal control over financial reporting described below.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Management identified a material weakness in the Company’s internal control over financial reporting related to the manual journal entry process impacting the Company’s general ledger accounts. We determined that, for a subset of journal entries that are manually entered into the Company’s general ledger, we failed to maintain effective segregation of duties. With respect to this subset of manual journal entries, it was possible for an individual to record an entry into our general ledger without prior approval. Management did not identify any material misstatements to, or any changes in, any of the Company’s previously issued consolidated financial statements related to these control deficiencies.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Plan for Remediation of the Material Weakness</w:t>
      </w:r>
    </w:p>
    <w:p>
      <w:pPr>
        <w:spacing w:after="0" w:line="16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and its Board of Directors are committed to maintaining an effective internal control environment. Management identified the control deficiency that constituted the above-described material weakness as of December 31, 2025 in the first quarter of 2026, and we plan to implement the following measures to remediate such weakness:</w:t>
      </w:r>
    </w:p>
    <w:p>
      <w:pPr>
        <w:spacing w:after="0" w:line="127" w:lineRule="exact"/>
        <w:rPr>
          <w:sz w:val="20"/>
          <w:szCs w:val="20"/>
          <w:color w:val="auto"/>
        </w:rPr>
      </w:pPr>
    </w:p>
    <w:p>
      <w:pPr>
        <w:jc w:val="both"/>
        <w:ind w:left="640" w:hanging="319"/>
        <w:spacing w:after="0" w:line="256" w:lineRule="auto"/>
        <w:tabs>
          <w:tab w:leader="none" w:pos="63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reduce the number of individuals with access to the Company’s general ledger on our core system, and thus the ability to manually enter journal entries without prior approval and require that these individuals use a software system for journal entries that enforces appropriate segregation of duties.</w:t>
      </w:r>
    </w:p>
    <w:p>
      <w:pPr>
        <w:spacing w:after="0" w:line="127" w:lineRule="exact"/>
        <w:rPr>
          <w:rFonts w:ascii="Times New Roman" w:cs="Times New Roman" w:eastAsia="Times New Roman" w:hAnsi="Times New Roman"/>
          <w:sz w:val="18"/>
          <w:szCs w:val="18"/>
          <w:color w:val="auto"/>
        </w:rPr>
      </w:pPr>
    </w:p>
    <w:p>
      <w:pPr>
        <w:jc w:val="both"/>
        <w:ind w:left="640" w:hanging="319"/>
        <w:spacing w:after="0" w:line="256" w:lineRule="auto"/>
        <w:tabs>
          <w:tab w:leader="none" w:pos="63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supervision and review processes will be implemented for any journal entries manually entered directly into the Company’ s general ledger on our core system. Under the new procedures, a member of the Company’s financial reporting staff will routinely review a report of all manual journal entries posted to our general ledger to ensure entries were properly supported and approved.</w:t>
      </w:r>
    </w:p>
    <w:p>
      <w:pPr>
        <w:spacing w:after="0" w:line="1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foregoing actions, management intends to continue to enhance the design of its general controls relating to this subset of its manual journal entries. Among other actions, management will evaluate resources of the Company’s finance department to ensure that the Company’s financial reporting processes are sufficiently supported in order to maintain proper segregation of duties.</w:t>
      </w:r>
    </w:p>
    <w:p>
      <w:pPr>
        <w:spacing w:after="0" w:line="12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While management has begun implementing plans that will remediate the material weakness identified above, such material weakness will not be considered fully remediated until the controls have operated effectively, as evidenced through testing, for a sufficient amount of time.</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BDO USA P.C., the Company’s independent registered public accounting firm that has audited the Company’s financial statements included in this annual report, has issued an attestation report on the Company’s internal control over financial reporting which appears in Part II, Item 8 of this Annual Report on 10-K.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6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Except as set forth above, there was no change to internal control over financial reporting during the fourth quarter of 2025 that has materially affected, or is reasonably likely to materially affect, our internal control over financial reporting.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Plans</w:t>
      </w:r>
    </w:p>
    <w:p>
      <w:pPr>
        <w:spacing w:after="0" w:line="163" w:lineRule="exact"/>
        <w:rPr>
          <w:sz w:val="20"/>
          <w:szCs w:val="20"/>
          <w:color w:val="auto"/>
        </w:rPr>
      </w:pPr>
    </w:p>
    <w:p>
      <w:pPr>
        <w:jc w:val="both"/>
        <w:spacing w:after="0" w:line="332" w:lineRule="auto"/>
        <w:rPr>
          <w:sz w:val="20"/>
          <w:szCs w:val="20"/>
          <w:color w:val="auto"/>
        </w:rPr>
      </w:pPr>
      <w:r>
        <w:rPr>
          <w:rFonts w:ascii="Times New Roman" w:cs="Times New Roman" w:eastAsia="Times New Roman" w:hAnsi="Times New Roman"/>
          <w:sz w:val="16"/>
          <w:szCs w:val="16"/>
          <w:color w:val="auto"/>
        </w:rPr>
        <w:t>During the quarter ended December 31, 2025, no director or officer (as defined in Rule 16a-1(f) under the Securities Exchange Act of 1934, as amended) adopted or terminated any “Rule 10b5-1 trading arrangements” or “non-Rule 10b5-1 trading arrangements” (each as defined in Item 408(a) of Regulation S-K).</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DISCLOSURES REGARDING FOREIGN JURISDICTIONS THAT PREVENT INSPECTIONS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50" w:name="page151"/>
    <w:bookmarkEnd w:id="150"/>
    <w:p>
      <w:pPr>
        <w:ind w:right="4480"/>
        <w:spacing w:after="0" w:line="428" w:lineRule="auto"/>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 Directors of the Company</w:t>
      </w:r>
    </w:p>
    <w:p>
      <w:pPr>
        <w:spacing w:after="0" w:line="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information appearing under the heading “Board Members and Compensation – Members of the Board of Directors” in the Company’s Definitive Proxy Statement for its 2026 Annual Meeting of Shareholders is incorporated herein by reference.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of the Company</w:t>
      </w:r>
    </w:p>
    <w:p>
      <w:pPr>
        <w:spacing w:after="0" w:line="16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information appearing under the heading “Executive Officers” in the Company’s Definitive Proxy Statement for its 2026 Annual Meeting of Shareholders is incorporated herein by reference.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6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Company has adopted a code of business conduct and ethics in compliance with Item 406 of Regulation S-K that applies to the Company’s principal executive officer, principal financial officer and principal accounting officer, among others. The Company’s Code of Ethics is available on its website at www.renasant.com by clicking on “Corporate Governance,” then “Documents, Charters &amp; Selected Policies” and then “Code of Business Conduct and Ethics.” Any person may request a free copy of the Code of Business Conduct and Ethics from the Company by sending a request to the following address: Renasant Corporation, 209 Troy Street, Tupelo, Mississippi 38804-4827, Attention: General Counsel. The Company intends to satisfy the disclosure requirement under Item 5.05 of Form 8-K regarding an amendment to, or waiver from, a provision of the Company’s Code of Business Conduct and Ethics by posting such information on its website, at the address specified above.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Recommendations of Director Candidates, Audit Committee Members and Insider Trading Arrangements and Policies</w:t>
      </w:r>
    </w:p>
    <w:p>
      <w:pPr>
        <w:spacing w:after="0" w:line="1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information appearing under the headings “Corporate Governance and the Board of Directors – Governing Documents and Practices, Insider Trading Policy” and “Corporate Governance and the Board of Directors - Director Nominations and Other Shareholder Proposals for the 2027 Annual Meeting” in the Company’s Definitive Proxy Statement for its 2026 Annual Meeting of Shareholders is incorporated herein by reference.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information appearing under the headings “Corporate Governance and the Board of Directors – Role of the Board in Risk Oversight,” “Board Members and Compensation – Director Compensation,” “Compensation Discussion and Analysis,” “Compensation Committee Report,” “Compensation Committee Interlocks and Insider Participation,” “Compensation Tables” and “Other Compensation-Related Disclosures” in the Company’s Definitive Proxy Statement for its 2026 Annual Meeting of Shareholders is incorporated herein by reference.</w:t>
      </w:r>
    </w:p>
    <w:p>
      <w:pPr>
        <w:spacing w:after="0" w:line="20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1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information appearing under the heading “Stock Ownership” in the Company’s Definitive Proxy Statement for its 2026 Annual Meeting of Shareholders is incorporated herein by reference.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16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There were no options, warrants or rights outstanding under plans approved by our shareholders and plans or arrangements that were not approved by our shareholders, as of December 31, 2025. These plans and arrangements are:</w:t>
      </w:r>
    </w:p>
    <w:p>
      <w:pPr>
        <w:spacing w:after="0" w:line="115" w:lineRule="exact"/>
        <w:rPr>
          <w:sz w:val="20"/>
          <w:szCs w:val="20"/>
          <w:color w:val="auto"/>
        </w:rPr>
      </w:pPr>
    </w:p>
    <w:p>
      <w:pPr>
        <w:jc w:val="both"/>
        <w:ind w:left="640" w:hanging="319"/>
        <w:spacing w:after="0" w:line="250" w:lineRule="auto"/>
        <w:tabs>
          <w:tab w:leader="none" w:pos="63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Shareholder-Approved Plans</w:t>
      </w:r>
      <w:r>
        <w:rPr>
          <w:rFonts w:ascii="Times New Roman" w:cs="Times New Roman" w:eastAsia="Times New Roman" w:hAnsi="Times New Roman"/>
          <w:sz w:val="18"/>
          <w:szCs w:val="18"/>
          <w:color w:val="auto"/>
        </w:rPr>
        <w:t>: The only shareholder approved equity compensation plan under which awards are outstanding is the Renasant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2020 Long-Term Incentive Compensation Plan, as amended (the “LTIP”). The LTIP authorizes the Company to make grants and awards of stock options, stock appreciation rights, restricted stock and restricted stock units to directors, officers and employees designated for participation in the plan. As of December 31, 2025, an aggregate of 1,048,223 shares of restricted stock awarded under the LTIP remained unvested, while there were no options or other securities outstanding under the plan as of such date.</w:t>
      </w:r>
    </w:p>
    <w:p>
      <w:pPr>
        <w:spacing w:after="0" w:line="132" w:lineRule="exact"/>
        <w:rPr>
          <w:rFonts w:ascii="Times New Roman" w:cs="Times New Roman" w:eastAsia="Times New Roman" w:hAnsi="Times New Roman"/>
          <w:sz w:val="18"/>
          <w:szCs w:val="18"/>
          <w:color w:val="auto"/>
        </w:rPr>
      </w:pPr>
    </w:p>
    <w:p>
      <w:pPr>
        <w:jc w:val="both"/>
        <w:ind w:left="640" w:hanging="319"/>
        <w:spacing w:after="0" w:line="257" w:lineRule="auto"/>
        <w:tabs>
          <w:tab w:leader="none" w:pos="63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Non-Shareholder Approved Plans and Arrangements</w:t>
      </w:r>
      <w:r>
        <w:rPr>
          <w:rFonts w:ascii="Times New Roman" w:cs="Times New Roman" w:eastAsia="Times New Roman" w:hAnsi="Times New Roman"/>
          <w:sz w:val="18"/>
          <w:szCs w:val="18"/>
          <w:color w:val="auto"/>
        </w:rPr>
        <w:t>: Two equity compensation plans currently in force that were not approved by our shareholders: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Renasant Corporation Deferred Stock Unit Plan, as amended (the “DSU Plan”), and The First Bancshares, Inc. 2007 Stock Incentive Plan, as amended (“The First Stock Incentive Plan”). At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03" w:right="339" w:bottom="1440" w:gutter="0" w:footer="0" w:header="0"/>
        </w:sectPr>
      </w:pPr>
    </w:p>
    <w:bookmarkStart w:id="151" w:name="page152"/>
    <w:bookmarkEnd w:id="151"/>
    <w:p>
      <w:pPr>
        <w:jc w:val="both"/>
        <w:ind w:left="640"/>
        <w:spacing w:after="0" w:line="282" w:lineRule="auto"/>
        <w:rPr>
          <w:sz w:val="20"/>
          <w:szCs w:val="20"/>
          <w:color w:val="auto"/>
        </w:rPr>
      </w:pPr>
      <w:r>
        <w:rPr>
          <w:rFonts w:ascii="Times New Roman" w:cs="Times New Roman" w:eastAsia="Times New Roman" w:hAnsi="Times New Roman"/>
          <w:sz w:val="16"/>
          <w:szCs w:val="16"/>
          <w:color w:val="auto"/>
        </w:rPr>
        <w:t>December 31, 2025, an aggregate of 467,500 and 114,755 shares of Company common stock were authorized and available for issuance, respectively, under the DSU Plan; as of December 31, 2025, units representing an aggregate of 352,745 shares of common stock have been allocated to accounts, some of which has been distributed in the form of common stock. The Company assumed restricted stock grants outstanding under The First Stock Incentive Plan as part of the merger with The First. Outstanding grants under this plan were converted into restricted stock grants in respect of shares of the Company's common stock, subject to the same terms and conditions as were applicable under The First Stock Incentive Plan immediately prior to the merger. At December 31, 2025, an aggregate of 1,615,000 and 579,540 shares of Company common stock were authorized and available for issuance, respectively, under the The First Stock Incentive Plan; as of December 31, 2025, an aggregate of 355,317 shares of restricted stock awarded under The First Stock Incentive Plan remained unvested. The Company does not intend to make any further grants or awards under the plan.</w:t>
      </w:r>
    </w:p>
    <w:p>
      <w:pPr>
        <w:spacing w:after="0" w:line="113" w:lineRule="exact"/>
        <w:rPr>
          <w:sz w:val="20"/>
          <w:szCs w:val="20"/>
          <w:color w:val="auto"/>
        </w:rPr>
      </w:pPr>
    </w:p>
    <w:p>
      <w:pPr>
        <w:jc w:val="both"/>
        <w:ind w:left="640"/>
        <w:spacing w:after="0" w:line="250" w:lineRule="auto"/>
        <w:rPr>
          <w:sz w:val="20"/>
          <w:szCs w:val="20"/>
          <w:color w:val="auto"/>
        </w:rPr>
      </w:pPr>
      <w:r>
        <w:rPr>
          <w:rFonts w:ascii="Times New Roman" w:cs="Times New Roman" w:eastAsia="Times New Roman" w:hAnsi="Times New Roman"/>
          <w:sz w:val="18"/>
          <w:szCs w:val="18"/>
          <w:color w:val="auto"/>
        </w:rPr>
        <w:t>Finally, from time to time, the Company without shareholder approval enters into employment agreements which may include commitments by the Company to make awards of equity under the Company’s long-term incentive compensation plans, stated in terms of a fixed number of shares or shares with a fixed value as of a specified grant date, or a percentage of the employee’s base compensation. Pursuant to the employment agreement that the Company entered into with M. Ray (Hoppy) Cole, Jr., we agreed to award Mr. Cole shares of our common stock under the LTIP with an award date vale of $525,000 on April 1, 2026. The award will vest on April 1, 2027.</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reports shares remaining available for issuance under our equity compensation plans as of December 31, 2025:</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20" w:type="dxa"/>
            <w:vAlign w:val="bottom"/>
          </w:tcPr>
          <w:p>
            <w:pPr>
              <w:spacing w:after="0"/>
              <w:rPr>
                <w:sz w:val="20"/>
                <w:szCs w:val="20"/>
                <w:color w:val="auto"/>
              </w:rPr>
            </w:pPr>
          </w:p>
        </w:tc>
        <w:tc>
          <w:tcPr>
            <w:tcW w:w="65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Equity Compensation Plan Information</w:t>
            </w:r>
          </w:p>
        </w:tc>
      </w:tr>
      <w:tr>
        <w:trPr>
          <w:trHeight w:val="27"/>
        </w:trPr>
        <w:tc>
          <w:tcPr>
            <w:tcW w:w="472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183"/>
        </w:trPr>
        <w:tc>
          <w:tcPr>
            <w:tcW w:w="47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160" w:type="dxa"/>
            <w:vAlign w:val="bottom"/>
          </w:tcPr>
          <w:p>
            <w:pPr>
              <w:jc w:val="center"/>
              <w:spacing w:after="0" w:line="183" w:lineRule="exact"/>
              <w:rPr>
                <w:sz w:val="20"/>
                <w:szCs w:val="20"/>
                <w:color w:val="auto"/>
              </w:rPr>
            </w:pPr>
            <w:r>
              <w:rPr>
                <w:rFonts w:ascii="Times New Roman" w:cs="Times New Roman" w:eastAsia="Times New Roman" w:hAnsi="Times New Roman"/>
                <w:sz w:val="18"/>
                <w:szCs w:val="18"/>
                <w:b w:val="1"/>
                <w:bCs w:val="1"/>
                <w:color w:val="auto"/>
                <w:w w:val="97"/>
              </w:rPr>
              <w:t>(c) Number of securities</w:t>
            </w:r>
          </w:p>
        </w:tc>
      </w:tr>
      <w:tr>
        <w:trPr>
          <w:trHeight w:val="197"/>
        </w:trPr>
        <w:tc>
          <w:tcPr>
            <w:tcW w:w="47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160" w:type="dxa"/>
            <w:vAlign w:val="bottom"/>
          </w:tcPr>
          <w:p>
            <w:pPr>
              <w:jc w:val="center"/>
              <w:spacing w:after="0" w:line="197" w:lineRule="exact"/>
              <w:rPr>
                <w:sz w:val="20"/>
                <w:szCs w:val="20"/>
                <w:color w:val="auto"/>
              </w:rPr>
            </w:pPr>
            <w:r>
              <w:rPr>
                <w:rFonts w:ascii="Times New Roman" w:cs="Times New Roman" w:eastAsia="Times New Roman" w:hAnsi="Times New Roman"/>
                <w:sz w:val="18"/>
                <w:szCs w:val="18"/>
                <w:b w:val="1"/>
                <w:bCs w:val="1"/>
                <w:color w:val="auto"/>
                <w:w w:val="97"/>
              </w:rPr>
              <w:t>remaining available for</w:t>
            </w:r>
          </w:p>
        </w:tc>
      </w:tr>
      <w:tr>
        <w:trPr>
          <w:trHeight w:val="197"/>
        </w:trPr>
        <w:tc>
          <w:tcPr>
            <w:tcW w:w="4720" w:type="dxa"/>
            <w:vAlign w:val="bottom"/>
          </w:tcPr>
          <w:p>
            <w:pPr>
              <w:spacing w:after="0"/>
              <w:rPr>
                <w:sz w:val="17"/>
                <w:szCs w:val="17"/>
                <w:color w:val="auto"/>
              </w:rPr>
            </w:pPr>
          </w:p>
        </w:tc>
        <w:tc>
          <w:tcPr>
            <w:tcW w:w="2180" w:type="dxa"/>
            <w:vAlign w:val="bottom"/>
          </w:tcPr>
          <w:p>
            <w:pPr>
              <w:jc w:val="center"/>
              <w:spacing w:after="0" w:line="197" w:lineRule="exact"/>
              <w:rPr>
                <w:sz w:val="20"/>
                <w:szCs w:val="20"/>
                <w:color w:val="auto"/>
              </w:rPr>
            </w:pPr>
            <w:r>
              <w:rPr>
                <w:rFonts w:ascii="Times New Roman" w:cs="Times New Roman" w:eastAsia="Times New Roman" w:hAnsi="Times New Roman"/>
                <w:sz w:val="18"/>
                <w:szCs w:val="18"/>
                <w:b w:val="1"/>
                <w:bCs w:val="1"/>
                <w:color w:val="auto"/>
                <w:w w:val="97"/>
              </w:rPr>
              <w:t>(a) Number of securities to</w:t>
            </w:r>
          </w:p>
        </w:tc>
        <w:tc>
          <w:tcPr>
            <w:tcW w:w="2180" w:type="dxa"/>
            <w:vAlign w:val="bottom"/>
          </w:tcPr>
          <w:p>
            <w:pPr>
              <w:jc w:val="center"/>
              <w:spacing w:after="0" w:line="197" w:lineRule="exact"/>
              <w:rPr>
                <w:sz w:val="20"/>
                <w:szCs w:val="20"/>
                <w:color w:val="auto"/>
              </w:rPr>
            </w:pPr>
            <w:r>
              <w:rPr>
                <w:rFonts w:ascii="Times New Roman" w:cs="Times New Roman" w:eastAsia="Times New Roman" w:hAnsi="Times New Roman"/>
                <w:sz w:val="18"/>
                <w:szCs w:val="18"/>
                <w:b w:val="1"/>
                <w:bCs w:val="1"/>
                <w:color w:val="auto"/>
                <w:w w:val="97"/>
              </w:rPr>
              <w:t>(b) Weighted-average</w:t>
            </w:r>
          </w:p>
        </w:tc>
        <w:tc>
          <w:tcPr>
            <w:tcW w:w="2160" w:type="dxa"/>
            <w:vAlign w:val="bottom"/>
          </w:tcPr>
          <w:p>
            <w:pPr>
              <w:jc w:val="center"/>
              <w:spacing w:after="0" w:line="197" w:lineRule="exact"/>
              <w:rPr>
                <w:sz w:val="20"/>
                <w:szCs w:val="20"/>
                <w:color w:val="auto"/>
              </w:rPr>
            </w:pPr>
            <w:r>
              <w:rPr>
                <w:rFonts w:ascii="Times New Roman" w:cs="Times New Roman" w:eastAsia="Times New Roman" w:hAnsi="Times New Roman"/>
                <w:sz w:val="18"/>
                <w:szCs w:val="18"/>
                <w:b w:val="1"/>
                <w:bCs w:val="1"/>
                <w:color w:val="auto"/>
                <w:w w:val="97"/>
              </w:rPr>
              <w:t>future issuance under equity</w:t>
            </w:r>
          </w:p>
        </w:tc>
      </w:tr>
      <w:tr>
        <w:trPr>
          <w:trHeight w:val="197"/>
        </w:trPr>
        <w:tc>
          <w:tcPr>
            <w:tcW w:w="4720" w:type="dxa"/>
            <w:vAlign w:val="bottom"/>
          </w:tcPr>
          <w:p>
            <w:pPr>
              <w:spacing w:after="0"/>
              <w:rPr>
                <w:sz w:val="17"/>
                <w:szCs w:val="17"/>
                <w:color w:val="auto"/>
              </w:rPr>
            </w:pPr>
          </w:p>
        </w:tc>
        <w:tc>
          <w:tcPr>
            <w:tcW w:w="2180" w:type="dxa"/>
            <w:vAlign w:val="bottom"/>
          </w:tcPr>
          <w:p>
            <w:pPr>
              <w:jc w:val="center"/>
              <w:spacing w:after="0" w:line="197" w:lineRule="exact"/>
              <w:rPr>
                <w:sz w:val="20"/>
                <w:szCs w:val="20"/>
                <w:color w:val="auto"/>
              </w:rPr>
            </w:pPr>
            <w:r>
              <w:rPr>
                <w:rFonts w:ascii="Times New Roman" w:cs="Times New Roman" w:eastAsia="Times New Roman" w:hAnsi="Times New Roman"/>
                <w:sz w:val="18"/>
                <w:szCs w:val="18"/>
                <w:b w:val="1"/>
                <w:bCs w:val="1"/>
                <w:color w:val="auto"/>
                <w:w w:val="96"/>
              </w:rPr>
              <w:t>be issued upon exercise of</w:t>
            </w:r>
          </w:p>
        </w:tc>
        <w:tc>
          <w:tcPr>
            <w:tcW w:w="2180" w:type="dxa"/>
            <w:vAlign w:val="bottom"/>
          </w:tcPr>
          <w:p>
            <w:pPr>
              <w:jc w:val="center"/>
              <w:spacing w:after="0" w:line="197" w:lineRule="exact"/>
              <w:rPr>
                <w:sz w:val="20"/>
                <w:szCs w:val="20"/>
                <w:color w:val="auto"/>
              </w:rPr>
            </w:pPr>
            <w:r>
              <w:rPr>
                <w:rFonts w:ascii="Times New Roman" w:cs="Times New Roman" w:eastAsia="Times New Roman" w:hAnsi="Times New Roman"/>
                <w:sz w:val="18"/>
                <w:szCs w:val="18"/>
                <w:b w:val="1"/>
                <w:bCs w:val="1"/>
                <w:color w:val="auto"/>
                <w:w w:val="97"/>
              </w:rPr>
              <w:t>exercise price of outstanding</w:t>
            </w:r>
          </w:p>
        </w:tc>
        <w:tc>
          <w:tcPr>
            <w:tcW w:w="2160" w:type="dxa"/>
            <w:vAlign w:val="bottom"/>
          </w:tcPr>
          <w:p>
            <w:pPr>
              <w:jc w:val="center"/>
              <w:spacing w:after="0" w:line="197" w:lineRule="exact"/>
              <w:rPr>
                <w:sz w:val="20"/>
                <w:szCs w:val="20"/>
                <w:color w:val="auto"/>
              </w:rPr>
            </w:pPr>
            <w:r>
              <w:rPr>
                <w:rFonts w:ascii="Times New Roman" w:cs="Times New Roman" w:eastAsia="Times New Roman" w:hAnsi="Times New Roman"/>
                <w:sz w:val="18"/>
                <w:szCs w:val="18"/>
                <w:b w:val="1"/>
                <w:bCs w:val="1"/>
                <w:color w:val="auto"/>
                <w:w w:val="97"/>
              </w:rPr>
              <w:t>compensation plans</w:t>
            </w:r>
          </w:p>
        </w:tc>
      </w:tr>
      <w:tr>
        <w:trPr>
          <w:trHeight w:val="195"/>
        </w:trPr>
        <w:tc>
          <w:tcPr>
            <w:tcW w:w="4720" w:type="dxa"/>
            <w:vAlign w:val="bottom"/>
          </w:tcPr>
          <w:p>
            <w:pPr>
              <w:spacing w:after="0"/>
              <w:rPr>
                <w:sz w:val="16"/>
                <w:szCs w:val="16"/>
                <w:color w:val="auto"/>
              </w:rPr>
            </w:pPr>
          </w:p>
        </w:tc>
        <w:tc>
          <w:tcPr>
            <w:tcW w:w="218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b w:val="1"/>
                <w:bCs w:val="1"/>
                <w:color w:val="auto"/>
                <w:w w:val="97"/>
              </w:rPr>
              <w:t>outstanding options,</w:t>
            </w:r>
          </w:p>
        </w:tc>
        <w:tc>
          <w:tcPr>
            <w:tcW w:w="218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b w:val="1"/>
                <w:bCs w:val="1"/>
                <w:color w:val="auto"/>
                <w:w w:val="97"/>
              </w:rPr>
              <w:t>options, warrants and</w:t>
            </w:r>
          </w:p>
        </w:tc>
        <w:tc>
          <w:tcPr>
            <w:tcW w:w="216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b w:val="1"/>
                <w:bCs w:val="1"/>
                <w:color w:val="auto"/>
                <w:w w:val="97"/>
              </w:rPr>
              <w:t>(excluding securities in</w:t>
            </w:r>
          </w:p>
        </w:tc>
      </w:tr>
      <w:tr>
        <w:trPr>
          <w:trHeight w:val="260"/>
        </w:trPr>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warrants and rights</w:t>
            </w: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rights</w:t>
            </w:r>
            <w:r>
              <w:rPr>
                <w:rFonts w:ascii="Times New Roman" w:cs="Times New Roman" w:eastAsia="Times New Roman" w:hAnsi="Times New Roman"/>
                <w:sz w:val="22"/>
                <w:szCs w:val="22"/>
                <w:b w:val="1"/>
                <w:bCs w:val="1"/>
                <w:color w:val="auto"/>
                <w:w w:val="93"/>
                <w:vertAlign w:val="superscript"/>
              </w:rPr>
              <w:t>(1)</w:t>
            </w: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column (a))</w:t>
            </w:r>
          </w:p>
        </w:tc>
      </w:tr>
      <w:tr>
        <w:trPr>
          <w:trHeight w:val="223"/>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2180" w:type="dxa"/>
            <w:vAlign w:val="bottom"/>
            <w:tcBorders>
              <w:bottom w:val="single" w:sz="8" w:color="CCEEFF"/>
            </w:tcBorders>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w w:val="99"/>
              </w:rPr>
              <w:t>—</w:t>
            </w:r>
          </w:p>
        </w:tc>
        <w:tc>
          <w:tcPr>
            <w:tcW w:w="2180" w:type="dxa"/>
            <w:vAlign w:val="bottom"/>
            <w:tcBorders>
              <w:bottom w:val="single" w:sz="8" w:color="CCEEFF"/>
            </w:tcBorders>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w w:val="99"/>
              </w:rPr>
              <w:t>—</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1,040,182</w:t>
            </w:r>
          </w:p>
        </w:tc>
      </w:tr>
      <w:tr>
        <w:trPr>
          <w:trHeight w:val="228"/>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2180" w:type="dxa"/>
            <w:vAlign w:val="bottom"/>
          </w:tcPr>
          <w:p>
            <w:pPr>
              <w:ind w:left="1980"/>
              <w:spacing w:after="0"/>
              <w:rPr>
                <w:sz w:val="20"/>
                <w:szCs w:val="20"/>
                <w:color w:val="auto"/>
              </w:rPr>
            </w:pPr>
            <w:r>
              <w:rPr>
                <w:rFonts w:ascii="Times New Roman" w:cs="Times New Roman" w:eastAsia="Times New Roman" w:hAnsi="Times New Roman"/>
                <w:sz w:val="18"/>
                <w:szCs w:val="18"/>
                <w:color w:val="auto"/>
                <w:w w:val="99"/>
              </w:rPr>
              <w:t>—</w:t>
            </w:r>
          </w:p>
        </w:tc>
        <w:tc>
          <w:tcPr>
            <w:tcW w:w="2180" w:type="dxa"/>
            <w:vAlign w:val="bottom"/>
          </w:tcPr>
          <w:p>
            <w:pPr>
              <w:ind w:left="1980"/>
              <w:spacing w:after="0"/>
              <w:rPr>
                <w:sz w:val="20"/>
                <w:szCs w:val="20"/>
                <w:color w:val="auto"/>
              </w:rPr>
            </w:pPr>
            <w:r>
              <w:rPr>
                <w:rFonts w:ascii="Times New Roman" w:cs="Times New Roman" w:eastAsia="Times New Roman" w:hAnsi="Times New Roman"/>
                <w:sz w:val="18"/>
                <w:szCs w:val="18"/>
                <w:color w:val="auto"/>
                <w:w w:val="99"/>
              </w:rPr>
              <w: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694,295</w:t>
            </w:r>
          </w:p>
        </w:tc>
      </w:tr>
      <w:tr>
        <w:trPr>
          <w:trHeight w:val="22"/>
        </w:trPr>
        <w:tc>
          <w:tcPr>
            <w:tcW w:w="472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r>
        <w:trPr>
          <w:trHeight w:val="221"/>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180" w:type="dxa"/>
            <w:vAlign w:val="bottom"/>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w w:val="99"/>
              </w:rPr>
              <w:t>—</w:t>
            </w:r>
          </w:p>
        </w:tc>
        <w:tc>
          <w:tcPr>
            <w:tcW w:w="2180" w:type="dxa"/>
            <w:vAlign w:val="bottom"/>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w w:val="99"/>
              </w:rPr>
              <w:t>—</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1,734,477</w:t>
            </w:r>
          </w:p>
        </w:tc>
      </w:tr>
      <w:tr>
        <w:trPr>
          <w:trHeight w:val="22"/>
        </w:trPr>
        <w:tc>
          <w:tcPr>
            <w:tcW w:w="4720" w:type="dxa"/>
            <w:vAlign w:val="bottom"/>
            <w:shd w:val="clear" w:color="auto" w:fill="CCEEFF"/>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r>
    </w:tbl>
    <w:p>
      <w:pPr>
        <w:spacing w:after="0" w:line="195" w:lineRule="exact"/>
        <w:rPr>
          <w:sz w:val="20"/>
          <w:szCs w:val="20"/>
          <w:color w:val="auto"/>
        </w:rPr>
      </w:pPr>
    </w:p>
    <w:p>
      <w:pPr>
        <w:ind w:left="400" w:hanging="237"/>
        <w:spacing w:after="0"/>
        <w:tabs>
          <w:tab w:leader="none" w:pos="400" w:val="left"/>
        </w:tabs>
        <w:numPr>
          <w:ilvl w:val="0"/>
          <w:numId w:val="4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Does not take into account units allocated under the DSU Plan.</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information appearing under the headings “Corporate Governance and the Board of Directors – Related Person Transactions” and “Corporate Governance and the Board of Directors – Director Independence” in the Company’s Definitive Proxy Statement for its 2026 Annual Meeting of Shareholders is incorporated herein by reference.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6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information appearing under the heading “Independent Registered Public Accountants” in the Company’s Definitive Proxy Statement for its 2026 Annual Meeting of Shareholders is incorporated herein by reference.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52" w:name="page153"/>
    <w:bookmarkEnd w:id="152"/>
    <w:p>
      <w:pPr>
        <w:ind w:left="528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3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 - (1) Financial Statements</w:t>
      </w:r>
    </w:p>
    <w:p>
      <w:pPr>
        <w:spacing w:after="0" w:line="214" w:lineRule="exact"/>
        <w:rPr>
          <w:sz w:val="20"/>
          <w:szCs w:val="20"/>
          <w:color w:val="auto"/>
        </w:rPr>
      </w:pPr>
    </w:p>
    <w:p>
      <w:pPr>
        <w:ind w:left="20" w:right="339"/>
        <w:spacing w:after="0" w:line="231" w:lineRule="auto"/>
        <w:rPr>
          <w:sz w:val="20"/>
          <w:szCs w:val="20"/>
          <w:color w:val="auto"/>
        </w:rPr>
      </w:pPr>
      <w:r>
        <w:rPr>
          <w:rFonts w:ascii="Times New Roman" w:cs="Times New Roman" w:eastAsia="Times New Roman" w:hAnsi="Times New Roman"/>
          <w:sz w:val="18"/>
          <w:szCs w:val="18"/>
          <w:color w:val="auto"/>
        </w:rPr>
        <w:t>The following consolidated financial statements and supplementary information for the fiscal years ended December 31, 2025, 2024 and 2023 are included in Part II, Item 8, Financial Statements and Supplementary Data, in this report:</w:t>
      </w:r>
    </w:p>
    <w:p>
      <w:pPr>
        <w:spacing w:after="0" w:line="49" w:lineRule="exact"/>
        <w:rPr>
          <w:sz w:val="20"/>
          <w:szCs w:val="20"/>
          <w:color w:val="auto"/>
        </w:rPr>
      </w:pPr>
    </w:p>
    <w:p>
      <w:pPr>
        <w:ind w:left="1480" w:hanging="1038"/>
        <w:spacing w:after="0"/>
        <w:tabs>
          <w:tab w:leader="none" w:pos="14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Report on Management’s Assessment of Internal Control over Financial Reporting</w:t>
      </w:r>
    </w:p>
    <w:p>
      <w:pPr>
        <w:spacing w:after="0" w:line="21" w:lineRule="exact"/>
        <w:rPr>
          <w:sz w:val="20"/>
          <w:szCs w:val="20"/>
          <w:color w:val="auto"/>
        </w:rPr>
      </w:pPr>
    </w:p>
    <w:p>
      <w:pPr>
        <w:ind w:left="1480" w:hanging="1062"/>
        <w:spacing w:after="0"/>
        <w:tabs>
          <w:tab w:leader="none" w:pos="14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Reports of Independent Registered Public Accounting Firm</w:t>
      </w:r>
    </w:p>
    <w:p>
      <w:pPr>
        <w:spacing w:after="0" w:line="17" w:lineRule="exact"/>
        <w:rPr>
          <w:sz w:val="20"/>
          <w:szCs w:val="20"/>
          <w:color w:val="auto"/>
        </w:rPr>
      </w:pPr>
    </w:p>
    <w:p>
      <w:pPr>
        <w:ind w:left="1480" w:hanging="1087"/>
        <w:spacing w:after="0"/>
        <w:tabs>
          <w:tab w:leader="none" w:pos="14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Consolidated Balance Sheets – December 31, 2025 and 2024</w:t>
      </w:r>
    </w:p>
    <w:p>
      <w:pPr>
        <w:spacing w:after="0" w:line="16" w:lineRule="exact"/>
        <w:rPr>
          <w:rFonts w:ascii="Times New Roman" w:cs="Times New Roman" w:eastAsia="Times New Roman" w:hAnsi="Times New Roman"/>
          <w:sz w:val="18"/>
          <w:szCs w:val="18"/>
          <w:color w:val="auto"/>
        </w:rPr>
      </w:pPr>
    </w:p>
    <w:p>
      <w:pPr>
        <w:ind w:left="1480" w:hanging="1082"/>
        <w:spacing w:after="0"/>
        <w:tabs>
          <w:tab w:leader="none" w:pos="14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Consolidated Statements of Income – Years ended December 31, 2025, 2024 and 2023</w:t>
      </w:r>
    </w:p>
    <w:p>
      <w:pPr>
        <w:spacing w:after="0" w:line="17" w:lineRule="exact"/>
        <w:rPr>
          <w:sz w:val="20"/>
          <w:szCs w:val="20"/>
          <w:color w:val="auto"/>
        </w:rPr>
      </w:pPr>
    </w:p>
    <w:p>
      <w:pPr>
        <w:ind w:left="1480" w:hanging="1057"/>
        <w:spacing w:after="0"/>
        <w:tabs>
          <w:tab w:leader="none" w:pos="14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Consolidated Statements of Comprehensive Income – Years ended December 31, 2025, 2024 and 2023</w:t>
      </w:r>
    </w:p>
    <w:p>
      <w:pPr>
        <w:spacing w:after="0" w:line="17" w:lineRule="exact"/>
        <w:rPr>
          <w:sz w:val="20"/>
          <w:szCs w:val="20"/>
          <w:color w:val="auto"/>
        </w:rPr>
      </w:pPr>
    </w:p>
    <w:p>
      <w:pPr>
        <w:ind w:left="1480" w:hanging="1082"/>
        <w:spacing w:after="0"/>
        <w:tabs>
          <w:tab w:leader="none" w:pos="14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Consolidated Statements of Changes in Shareholders’ Equity – Years ended December 31, 2025, 2024 and 2023</w:t>
      </w:r>
    </w:p>
    <w:p>
      <w:pPr>
        <w:spacing w:after="0" w:line="17" w:lineRule="exact"/>
        <w:rPr>
          <w:sz w:val="20"/>
          <w:szCs w:val="20"/>
          <w:color w:val="auto"/>
        </w:rPr>
      </w:pPr>
    </w:p>
    <w:p>
      <w:pPr>
        <w:ind w:left="1480" w:hanging="1106"/>
        <w:spacing w:after="0"/>
        <w:tabs>
          <w:tab w:leader="none" w:pos="14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Consolidated Statements of Cash Flows – Years ended December 31, 2025, 2024 and 2023</w:t>
      </w:r>
    </w:p>
    <w:p>
      <w:pPr>
        <w:spacing w:after="0" w:line="17" w:lineRule="exact"/>
        <w:rPr>
          <w:sz w:val="20"/>
          <w:szCs w:val="20"/>
          <w:color w:val="auto"/>
        </w:rPr>
      </w:pPr>
    </w:p>
    <w:p>
      <w:pPr>
        <w:ind w:left="1480" w:hanging="1130"/>
        <w:spacing w:after="0"/>
        <w:tabs>
          <w:tab w:leader="none" w:pos="14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Notes to Consolidated Financial Statements</w:t>
      </w:r>
    </w:p>
    <w:p>
      <w:pPr>
        <w:spacing w:after="0" w:line="209" w:lineRule="exact"/>
        <w:rPr>
          <w:rFonts w:ascii="Times New Roman" w:cs="Times New Roman" w:eastAsia="Times New Roman" w:hAnsi="Times New Roman"/>
          <w:sz w:val="18"/>
          <w:szCs w:val="18"/>
          <w:color w:val="auto"/>
        </w:rPr>
      </w:pPr>
    </w:p>
    <w:p>
      <w:pPr>
        <w:ind w:left="260" w:hanging="237"/>
        <w:spacing w:after="0"/>
        <w:tabs>
          <w:tab w:leader="none" w:pos="2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(2) Financial Statement Schedules</w:t>
      </w:r>
    </w:p>
    <w:p>
      <w:pPr>
        <w:spacing w:after="0" w:line="214" w:lineRule="exact"/>
        <w:rPr>
          <w:sz w:val="20"/>
          <w:szCs w:val="20"/>
          <w:color w:val="auto"/>
        </w:rPr>
      </w:pPr>
    </w:p>
    <w:p>
      <w:pPr>
        <w:ind w:left="20" w:right="339"/>
        <w:spacing w:after="0" w:line="231" w:lineRule="auto"/>
        <w:rPr>
          <w:sz w:val="20"/>
          <w:szCs w:val="20"/>
          <w:color w:val="auto"/>
        </w:rPr>
      </w:pPr>
      <w:r>
        <w:rPr>
          <w:rFonts w:ascii="Times New Roman" w:cs="Times New Roman" w:eastAsia="Times New Roman" w:hAnsi="Times New Roman"/>
          <w:sz w:val="18"/>
          <w:szCs w:val="18"/>
          <w:color w:val="auto"/>
        </w:rPr>
        <w:t>All schedules have been omitted because they are either not applicable or the required information has been included in the consolidated financial statements or notes thereto.</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 - (3) Exhibits required by Item 601 of Regulation S-K</w:t>
      </w:r>
    </w:p>
    <w:p>
      <w:pPr>
        <w:spacing w:after="0" w:line="53" w:lineRule="exact"/>
        <w:rPr>
          <w:sz w:val="20"/>
          <w:szCs w:val="20"/>
          <w:color w:val="auto"/>
        </w:rPr>
      </w:pPr>
    </w:p>
    <w:p>
      <w:pPr>
        <w:jc w:val="right"/>
        <w:ind w:right="339"/>
        <w:spacing w:after="0"/>
        <w:tabs>
          <w:tab w:leader="none" w:pos="86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8"/>
          <w:szCs w:val="18"/>
          <w:color w:val="auto"/>
        </w:rPr>
        <w:t>(2)(i)</w:t>
      </w:r>
      <w:r>
        <w:rPr>
          <w:sz w:val="20"/>
          <w:szCs w:val="20"/>
          <w:color w:val="auto"/>
        </w:rPr>
        <w:tab/>
      </w:r>
      <w:hyperlink r:id="rId178">
        <w:r>
          <w:rPr>
            <w:rFonts w:ascii="Times New Roman" w:cs="Times New Roman" w:eastAsia="Times New Roman" w:hAnsi="Times New Roman"/>
            <w:sz w:val="16"/>
            <w:szCs w:val="16"/>
            <w:u w:val="single" w:color="auto"/>
            <w:color w:val="0000FF"/>
          </w:rPr>
          <w:t>Agreement and Plan of Merger by and between Renasant Corporation and The First Bancshares, Inc., dated as of July 29,</w:t>
        </w:r>
      </w:hyperlink>
    </w:p>
    <w:p>
      <w:pPr>
        <w:jc w:val="right"/>
        <w:ind w:right="339"/>
        <w:spacing w:after="0" w:line="213" w:lineRule="auto"/>
        <w:rPr>
          <w:rFonts w:ascii="Times New Roman" w:cs="Times New Roman" w:eastAsia="Times New Roman" w:hAnsi="Times New Roman"/>
          <w:sz w:val="18"/>
          <w:szCs w:val="18"/>
          <w:u w:val="single" w:color="auto"/>
          <w:color w:val="0000FF"/>
        </w:rPr>
      </w:pPr>
      <w:hyperlink r:id="rId178">
        <w:r>
          <w:rPr>
            <w:rFonts w:ascii="Times New Roman" w:cs="Times New Roman" w:eastAsia="Times New Roman" w:hAnsi="Times New Roman"/>
            <w:sz w:val="18"/>
            <w:szCs w:val="18"/>
            <w:u w:val="single" w:color="auto"/>
            <w:color w:val="0000FF"/>
          </w:rPr>
          <w:t>2024, filed as exhibit 2(i) to the Form 8-K of the Company filed with the Securities and Exchange Commission (the</w:t>
        </w:r>
      </w:hyperlink>
    </w:p>
    <w:p>
      <w:pPr>
        <w:spacing w:after="0" w:line="1" w:lineRule="exact"/>
        <w:rPr>
          <w:sz w:val="20"/>
          <w:szCs w:val="20"/>
          <w:color w:val="auto"/>
        </w:rPr>
      </w:pPr>
    </w:p>
    <w:p>
      <w:pPr>
        <w:jc w:val="both"/>
        <w:ind w:left="1160" w:right="339"/>
        <w:spacing w:after="0" w:line="212" w:lineRule="auto"/>
        <w:rPr>
          <w:rFonts w:ascii="Times New Roman" w:cs="Times New Roman" w:eastAsia="Times New Roman" w:hAnsi="Times New Roman"/>
          <w:sz w:val="18"/>
          <w:szCs w:val="18"/>
          <w:u w:val="single" w:color="auto"/>
          <w:color w:val="0000FF"/>
        </w:rPr>
      </w:pPr>
      <w:hyperlink r:id="rId178">
        <w:r>
          <w:rPr>
            <w:rFonts w:ascii="Times New Roman" w:cs="Times New Roman" w:eastAsia="Times New Roman" w:hAnsi="Times New Roman"/>
            <w:sz w:val="18"/>
            <w:szCs w:val="18"/>
            <w:u w:val="single" w:color="auto"/>
            <w:color w:val="0000FF"/>
          </w:rPr>
          <w:t>“Commission”) on July 29, 2024, and incorporated herein by reference. The disclosure schedules and exhibits have been</w:t>
        </w:r>
      </w:hyperlink>
      <w:r>
        <w:rPr>
          <w:rFonts w:ascii="Times New Roman" w:cs="Times New Roman" w:eastAsia="Times New Roman" w:hAnsi="Times New Roman"/>
          <w:sz w:val="18"/>
          <w:szCs w:val="18"/>
          <w:u w:val="single" w:color="auto"/>
          <w:color w:val="0000FF"/>
        </w:rPr>
        <w:t xml:space="preserve"> </w:t>
      </w:r>
      <w:hyperlink r:id="rId178">
        <w:r>
          <w:rPr>
            <w:rFonts w:ascii="Times New Roman" w:cs="Times New Roman" w:eastAsia="Times New Roman" w:hAnsi="Times New Roman"/>
            <w:sz w:val="18"/>
            <w:szCs w:val="18"/>
            <w:u w:val="single" w:color="auto"/>
            <w:color w:val="0000FF"/>
          </w:rPr>
          <w:t>omitted pursuant to Item 601(a)(5) of Regulation S-K. The Company agrees to furnish supplementally a copy of any</w:t>
        </w:r>
      </w:hyperlink>
      <w:r>
        <w:rPr>
          <w:rFonts w:ascii="Times New Roman" w:cs="Times New Roman" w:eastAsia="Times New Roman" w:hAnsi="Times New Roman"/>
          <w:sz w:val="18"/>
          <w:szCs w:val="18"/>
          <w:u w:val="single" w:color="auto"/>
          <w:color w:val="0000FF"/>
        </w:rPr>
        <w:t xml:space="preserve"> </w:t>
      </w:r>
      <w:hyperlink r:id="rId178">
        <w:r>
          <w:rPr>
            <w:rFonts w:ascii="Times New Roman" w:cs="Times New Roman" w:eastAsia="Times New Roman" w:hAnsi="Times New Roman"/>
            <w:sz w:val="18"/>
            <w:szCs w:val="18"/>
            <w:u w:val="single" w:color="auto"/>
            <w:color w:val="0000FF"/>
          </w:rPr>
          <w:t>omitted schedule or exhibit to the Commission upon request.</w:t>
        </w:r>
      </w:hyperlink>
    </w:p>
    <w:p>
      <w:pPr>
        <w:spacing w:after="0" w:line="63" w:lineRule="exact"/>
        <w:rPr>
          <w:rFonts w:ascii="Times New Roman" w:cs="Times New Roman" w:eastAsia="Times New Roman" w:hAnsi="Times New Roman"/>
          <w:sz w:val="18"/>
          <w:szCs w:val="18"/>
          <w:u w:val="single" w:color="auto"/>
          <w:color w:val="0000FF"/>
        </w:rPr>
      </w:pPr>
    </w:p>
    <w:p>
      <w:pPr>
        <w:ind w:left="1160" w:right="339" w:hanging="813"/>
        <w:spacing w:after="0" w:line="231" w:lineRule="auto"/>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(3)(i)</w:t>
      </w:r>
      <w:r>
        <w:rPr>
          <w:sz w:val="20"/>
          <w:szCs w:val="20"/>
          <w:color w:val="auto"/>
        </w:rPr>
        <w:tab/>
      </w:r>
      <w:hyperlink r:id="rId179">
        <w:r>
          <w:rPr>
            <w:rFonts w:ascii="Times New Roman" w:cs="Times New Roman" w:eastAsia="Times New Roman" w:hAnsi="Times New Roman"/>
            <w:sz w:val="18"/>
            <w:szCs w:val="18"/>
            <w:u w:val="single" w:color="auto"/>
            <w:color w:val="0000FF"/>
          </w:rPr>
          <w:t>Restated Articles of Incorporation of the Company, filed as exhibit 3.1 to the Form 10-Q of the Company filed with the</w:t>
        </w:r>
      </w:hyperlink>
      <w:r>
        <w:rPr>
          <w:rFonts w:ascii="Times New Roman" w:cs="Times New Roman" w:eastAsia="Times New Roman" w:hAnsi="Times New Roman"/>
          <w:sz w:val="18"/>
          <w:szCs w:val="18"/>
          <w:u w:val="single" w:color="auto"/>
          <w:color w:val="0000FF"/>
        </w:rPr>
        <w:t xml:space="preserve"> </w:t>
      </w:r>
      <w:hyperlink r:id="rId179">
        <w:r>
          <w:rPr>
            <w:rFonts w:ascii="Times New Roman" w:cs="Times New Roman" w:eastAsia="Times New Roman" w:hAnsi="Times New Roman"/>
            <w:sz w:val="18"/>
            <w:szCs w:val="18"/>
            <w:u w:val="single" w:color="auto"/>
            <w:color w:val="0000FF"/>
          </w:rPr>
          <w:t>Commission August 6, 2025 and incorporated herein by reference.</w:t>
        </w:r>
      </w:hyperlink>
    </w:p>
    <w:p>
      <w:pPr>
        <w:spacing w:after="0" w:line="62" w:lineRule="exact"/>
        <w:rPr>
          <w:sz w:val="20"/>
          <w:szCs w:val="20"/>
          <w:color w:val="auto"/>
        </w:rPr>
      </w:pPr>
    </w:p>
    <w:p>
      <w:pPr>
        <w:ind w:left="1160" w:right="339" w:hanging="838"/>
        <w:spacing w:after="0" w:line="231" w:lineRule="auto"/>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(3)(ii)</w:t>
      </w:r>
      <w:r>
        <w:rPr>
          <w:sz w:val="20"/>
          <w:szCs w:val="20"/>
          <w:color w:val="auto"/>
        </w:rPr>
        <w:tab/>
      </w:r>
      <w:hyperlink r:id="rId180">
        <w:r>
          <w:rPr>
            <w:rFonts w:ascii="Times New Roman" w:cs="Times New Roman" w:eastAsia="Times New Roman" w:hAnsi="Times New Roman"/>
            <w:sz w:val="18"/>
            <w:szCs w:val="18"/>
            <w:u w:val="single" w:color="auto"/>
            <w:color w:val="0000FF"/>
          </w:rPr>
          <w:t>Amended and Restated Bylaws of the Company, filed as exhibit 3(ii) to the Form 8-K of the Company filed with the</w:t>
        </w:r>
      </w:hyperlink>
      <w:r>
        <w:rPr>
          <w:rFonts w:ascii="Times New Roman" w:cs="Times New Roman" w:eastAsia="Times New Roman" w:hAnsi="Times New Roman"/>
          <w:sz w:val="18"/>
          <w:szCs w:val="18"/>
          <w:u w:val="single" w:color="auto"/>
          <w:color w:val="0000FF"/>
        </w:rPr>
        <w:t xml:space="preserve"> </w:t>
      </w:r>
      <w:hyperlink r:id="rId180">
        <w:r>
          <w:rPr>
            <w:rFonts w:ascii="Times New Roman" w:cs="Times New Roman" w:eastAsia="Times New Roman" w:hAnsi="Times New Roman"/>
            <w:sz w:val="18"/>
            <w:szCs w:val="18"/>
            <w:u w:val="single" w:color="auto"/>
            <w:color w:val="0000FF"/>
          </w:rPr>
          <w:t>Commission on October 24, 2024 and incorporated herein by reference.</w:t>
        </w:r>
      </w:hyperlink>
    </w:p>
    <w:p>
      <w:pPr>
        <w:spacing w:after="0" w:line="62" w:lineRule="exact"/>
        <w:rPr>
          <w:sz w:val="20"/>
          <w:szCs w:val="20"/>
          <w:color w:val="auto"/>
        </w:rPr>
      </w:pPr>
    </w:p>
    <w:p>
      <w:pPr>
        <w:ind w:left="1160" w:right="339" w:hanging="813"/>
        <w:spacing w:after="0" w:line="231" w:lineRule="auto"/>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(4)(i)</w:t>
      </w:r>
      <w:r>
        <w:rPr>
          <w:sz w:val="20"/>
          <w:szCs w:val="20"/>
          <w:color w:val="auto"/>
        </w:rPr>
        <w:tab/>
      </w:r>
      <w:hyperlink r:id="rId179">
        <w:r>
          <w:rPr>
            <w:rFonts w:ascii="Times New Roman" w:cs="Times New Roman" w:eastAsia="Times New Roman" w:hAnsi="Times New Roman"/>
            <w:sz w:val="18"/>
            <w:szCs w:val="18"/>
            <w:u w:val="single" w:color="auto"/>
            <w:color w:val="0000FF"/>
          </w:rPr>
          <w:t>Restated Articles of Incorporation of the Company, filed as exhibit 3.1 to the Form 10-Q of the Company filed with the</w:t>
        </w:r>
      </w:hyperlink>
      <w:r>
        <w:rPr>
          <w:rFonts w:ascii="Times New Roman" w:cs="Times New Roman" w:eastAsia="Times New Roman" w:hAnsi="Times New Roman"/>
          <w:sz w:val="18"/>
          <w:szCs w:val="18"/>
          <w:u w:val="single" w:color="auto"/>
          <w:color w:val="0000FF"/>
        </w:rPr>
        <w:t xml:space="preserve"> </w:t>
      </w:r>
      <w:hyperlink r:id="rId179">
        <w:r>
          <w:rPr>
            <w:rFonts w:ascii="Times New Roman" w:cs="Times New Roman" w:eastAsia="Times New Roman" w:hAnsi="Times New Roman"/>
            <w:sz w:val="18"/>
            <w:szCs w:val="18"/>
            <w:u w:val="single" w:color="auto"/>
            <w:color w:val="0000FF"/>
          </w:rPr>
          <w:t>Commission on August 6, 2025 and incorporated herein by reference.</w:t>
        </w:r>
      </w:hyperlink>
    </w:p>
    <w:p>
      <w:pPr>
        <w:spacing w:after="0" w:line="62" w:lineRule="exact"/>
        <w:rPr>
          <w:sz w:val="20"/>
          <w:szCs w:val="20"/>
          <w:color w:val="auto"/>
        </w:rPr>
      </w:pPr>
    </w:p>
    <w:p>
      <w:pPr>
        <w:ind w:left="1160" w:right="339" w:hanging="838"/>
        <w:spacing w:after="0" w:line="231" w:lineRule="auto"/>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(4)(ii)</w:t>
      </w:r>
      <w:r>
        <w:rPr>
          <w:sz w:val="20"/>
          <w:szCs w:val="20"/>
          <w:color w:val="auto"/>
        </w:rPr>
        <w:tab/>
      </w:r>
      <w:hyperlink r:id="rId180">
        <w:r>
          <w:rPr>
            <w:rFonts w:ascii="Times New Roman" w:cs="Times New Roman" w:eastAsia="Times New Roman" w:hAnsi="Times New Roman"/>
            <w:sz w:val="18"/>
            <w:szCs w:val="18"/>
            <w:u w:val="single" w:color="auto"/>
            <w:color w:val="0000FF"/>
          </w:rPr>
          <w:t>Amended and Restated Bylaws of the Company, filed as exhibit 3(ii) to the Form 8-K of the Company filed with the</w:t>
        </w:r>
      </w:hyperlink>
      <w:r>
        <w:rPr>
          <w:rFonts w:ascii="Times New Roman" w:cs="Times New Roman" w:eastAsia="Times New Roman" w:hAnsi="Times New Roman"/>
          <w:sz w:val="18"/>
          <w:szCs w:val="18"/>
          <w:u w:val="single" w:color="auto"/>
          <w:color w:val="0000FF"/>
        </w:rPr>
        <w:t xml:space="preserve"> </w:t>
      </w:r>
      <w:hyperlink r:id="rId180">
        <w:r>
          <w:rPr>
            <w:rFonts w:ascii="Times New Roman" w:cs="Times New Roman" w:eastAsia="Times New Roman" w:hAnsi="Times New Roman"/>
            <w:sz w:val="18"/>
            <w:szCs w:val="18"/>
            <w:u w:val="single" w:color="auto"/>
            <w:color w:val="0000FF"/>
          </w:rPr>
          <w:t>Commission on October 24, 2024 and incorporated herein by reference.</w:t>
        </w:r>
      </w:hyperlink>
    </w:p>
    <w:p>
      <w:pPr>
        <w:spacing w:after="0" w:line="200" w:lineRule="exact"/>
        <w:rPr>
          <w:sz w:val="20"/>
          <w:szCs w:val="20"/>
          <w:color w:val="auto"/>
        </w:rPr>
      </w:pPr>
    </w:p>
    <w:p>
      <w:pPr>
        <w:spacing w:after="0" w:line="336" w:lineRule="exact"/>
        <w:rPr>
          <w:sz w:val="20"/>
          <w:szCs w:val="20"/>
          <w:color w:val="auto"/>
        </w:rPr>
      </w:pPr>
    </w:p>
    <w:p>
      <w:pPr>
        <w:jc w:val="right"/>
        <w:ind w:left="300" w:right="339"/>
        <w:spacing w:after="0" w:line="21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(4)(iii)     </w:t>
      </w:r>
      <w:hyperlink r:id="rId181">
        <w:r>
          <w:rPr>
            <w:rFonts w:ascii="Times New Roman" w:cs="Times New Roman" w:eastAsia="Times New Roman" w:hAnsi="Times New Roman"/>
            <w:sz w:val="18"/>
            <w:szCs w:val="18"/>
            <w:u w:val="single" w:color="auto"/>
            <w:color w:val="0000FF"/>
          </w:rPr>
          <w:t>Subordinated  Indenture  dated  August  22,  2016  between  Renasant  Corporation  and  Wilmington  Trust,  National</w:t>
        </w:r>
      </w:hyperlink>
      <w:r>
        <w:rPr>
          <w:rFonts w:ascii="Times New Roman" w:cs="Times New Roman" w:eastAsia="Times New Roman" w:hAnsi="Times New Roman"/>
          <w:sz w:val="18"/>
          <w:szCs w:val="18"/>
          <w:color w:val="auto"/>
        </w:rPr>
        <w:t xml:space="preserve"> </w:t>
      </w:r>
      <w:hyperlink r:id="rId181">
        <w:r>
          <w:rPr>
            <w:rFonts w:ascii="Times New Roman" w:cs="Times New Roman" w:eastAsia="Times New Roman" w:hAnsi="Times New Roman"/>
            <w:sz w:val="18"/>
            <w:szCs w:val="18"/>
            <w:u w:val="single" w:color="auto"/>
            <w:color w:val="0000FF"/>
          </w:rPr>
          <w:t>Association, filed as exhibit 4.1 to the Form 8-K of the Company filed with the Commission on August 22, 2016 and</w:t>
        </w:r>
      </w:hyperlink>
    </w:p>
    <w:p>
      <w:pPr>
        <w:spacing w:after="0" w:line="1" w:lineRule="exact"/>
        <w:rPr>
          <w:sz w:val="20"/>
          <w:szCs w:val="20"/>
          <w:color w:val="auto"/>
        </w:rPr>
      </w:pPr>
    </w:p>
    <w:p>
      <w:pPr>
        <w:ind w:left="1160"/>
        <w:spacing w:after="0"/>
        <w:rPr>
          <w:rFonts w:ascii="Times New Roman" w:cs="Times New Roman" w:eastAsia="Times New Roman" w:hAnsi="Times New Roman"/>
          <w:sz w:val="18"/>
          <w:szCs w:val="18"/>
          <w:u w:val="single" w:color="auto"/>
          <w:color w:val="0000FF"/>
        </w:rPr>
      </w:pPr>
      <w:hyperlink r:id="rId181">
        <w:r>
          <w:rPr>
            <w:rFonts w:ascii="Times New Roman" w:cs="Times New Roman" w:eastAsia="Times New Roman" w:hAnsi="Times New Roman"/>
            <w:sz w:val="18"/>
            <w:szCs w:val="18"/>
            <w:u w:val="single" w:color="auto"/>
            <w:color w:val="0000FF"/>
          </w:rPr>
          <w:t>incorporated herein by reference.</w:t>
        </w:r>
      </w:hyperlink>
    </w:p>
    <w:p>
      <w:pPr>
        <w:spacing w:after="0" w:line="49" w:lineRule="exact"/>
        <w:rPr>
          <w:sz w:val="20"/>
          <w:szCs w:val="20"/>
          <w:color w:val="auto"/>
        </w:rPr>
      </w:pPr>
    </w:p>
    <w:p>
      <w:pPr>
        <w:jc w:val="right"/>
        <w:ind w:left="300" w:right="339"/>
        <w:spacing w:after="0" w:line="21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(4)(iv)     </w:t>
      </w:r>
      <w:hyperlink r:id="rId182">
        <w:r>
          <w:rPr>
            <w:rFonts w:ascii="Times New Roman" w:cs="Times New Roman" w:eastAsia="Times New Roman" w:hAnsi="Times New Roman"/>
            <w:sz w:val="18"/>
            <w:szCs w:val="18"/>
            <w:u w:val="single" w:color="auto"/>
            <w:color w:val="0000FF"/>
          </w:rPr>
          <w:t>First Supplemental Indenture dated August 22, 2016 between Renasant Corporation and Wilmington Trust, National</w:t>
        </w:r>
      </w:hyperlink>
      <w:r>
        <w:rPr>
          <w:rFonts w:ascii="Times New Roman" w:cs="Times New Roman" w:eastAsia="Times New Roman" w:hAnsi="Times New Roman"/>
          <w:sz w:val="18"/>
          <w:szCs w:val="18"/>
          <w:color w:val="auto"/>
        </w:rPr>
        <w:t xml:space="preserve"> </w:t>
      </w:r>
      <w:hyperlink r:id="rId182">
        <w:r>
          <w:rPr>
            <w:rFonts w:ascii="Times New Roman" w:cs="Times New Roman" w:eastAsia="Times New Roman" w:hAnsi="Times New Roman"/>
            <w:sz w:val="18"/>
            <w:szCs w:val="18"/>
            <w:u w:val="single" w:color="auto"/>
            <w:color w:val="0000FF"/>
          </w:rPr>
          <w:t>Association, filed as exhibit 4.2 to the Form 8-K of the Company filed with the Commission on August 22, 2016 and</w:t>
        </w:r>
      </w:hyperlink>
    </w:p>
    <w:p>
      <w:pPr>
        <w:spacing w:after="0" w:line="1" w:lineRule="exact"/>
        <w:rPr>
          <w:sz w:val="20"/>
          <w:szCs w:val="20"/>
          <w:color w:val="auto"/>
        </w:rPr>
      </w:pPr>
    </w:p>
    <w:p>
      <w:pPr>
        <w:ind w:left="1160"/>
        <w:spacing w:after="0"/>
        <w:rPr>
          <w:rFonts w:ascii="Times New Roman" w:cs="Times New Roman" w:eastAsia="Times New Roman" w:hAnsi="Times New Roman"/>
          <w:sz w:val="18"/>
          <w:szCs w:val="18"/>
          <w:u w:val="single" w:color="auto"/>
          <w:color w:val="0000FF"/>
        </w:rPr>
      </w:pPr>
      <w:hyperlink r:id="rId182">
        <w:r>
          <w:rPr>
            <w:rFonts w:ascii="Times New Roman" w:cs="Times New Roman" w:eastAsia="Times New Roman" w:hAnsi="Times New Roman"/>
            <w:sz w:val="18"/>
            <w:szCs w:val="18"/>
            <w:u w:val="single" w:color="auto"/>
            <w:color w:val="0000FF"/>
          </w:rPr>
          <w:t>incorporated herein by reference.</w:t>
        </w:r>
      </w:hyperlink>
    </w:p>
    <w:p>
      <w:pPr>
        <w:spacing w:after="0" w:line="49" w:lineRule="exact"/>
        <w:rPr>
          <w:sz w:val="20"/>
          <w:szCs w:val="20"/>
          <w:color w:val="auto"/>
        </w:rPr>
      </w:pPr>
    </w:p>
    <w:p>
      <w:pPr>
        <w:jc w:val="right"/>
        <w:ind w:left="320" w:right="339"/>
        <w:spacing w:after="0" w:line="21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(4)(v)     </w:t>
      </w:r>
      <w:hyperlink r:id="rId183">
        <w:r>
          <w:rPr>
            <w:rFonts w:ascii="Times New Roman" w:cs="Times New Roman" w:eastAsia="Times New Roman" w:hAnsi="Times New Roman"/>
            <w:sz w:val="18"/>
            <w:szCs w:val="18"/>
            <w:u w:val="single" w:color="auto"/>
            <w:color w:val="0000FF"/>
          </w:rPr>
          <w:t>Second Supplemental Indenture dated August 22, 2016 between Renasant Corporation and Wilmington Trust, National</w:t>
        </w:r>
      </w:hyperlink>
      <w:r>
        <w:rPr>
          <w:rFonts w:ascii="Times New Roman" w:cs="Times New Roman" w:eastAsia="Times New Roman" w:hAnsi="Times New Roman"/>
          <w:sz w:val="18"/>
          <w:szCs w:val="18"/>
          <w:color w:val="auto"/>
        </w:rPr>
        <w:t xml:space="preserve"> </w:t>
      </w:r>
      <w:hyperlink r:id="rId183">
        <w:r>
          <w:rPr>
            <w:rFonts w:ascii="Times New Roman" w:cs="Times New Roman" w:eastAsia="Times New Roman" w:hAnsi="Times New Roman"/>
            <w:sz w:val="18"/>
            <w:szCs w:val="18"/>
            <w:u w:val="single" w:color="auto"/>
            <w:color w:val="0000FF"/>
          </w:rPr>
          <w:t>Association, filed as exhibit 4.3 to the Form 8-K of the Company filed with the Commission on August 22, 2016 and</w:t>
        </w:r>
      </w:hyperlink>
    </w:p>
    <w:p>
      <w:pPr>
        <w:spacing w:after="0" w:line="1" w:lineRule="exact"/>
        <w:rPr>
          <w:sz w:val="20"/>
          <w:szCs w:val="20"/>
          <w:color w:val="auto"/>
        </w:rPr>
      </w:pPr>
    </w:p>
    <w:p>
      <w:pPr>
        <w:ind w:left="1160"/>
        <w:spacing w:after="0"/>
        <w:rPr>
          <w:rFonts w:ascii="Times New Roman" w:cs="Times New Roman" w:eastAsia="Times New Roman" w:hAnsi="Times New Roman"/>
          <w:sz w:val="18"/>
          <w:szCs w:val="18"/>
          <w:u w:val="single" w:color="auto"/>
          <w:color w:val="0000FF"/>
        </w:rPr>
      </w:pPr>
      <w:hyperlink r:id="rId183">
        <w:r>
          <w:rPr>
            <w:rFonts w:ascii="Times New Roman" w:cs="Times New Roman" w:eastAsia="Times New Roman" w:hAnsi="Times New Roman"/>
            <w:sz w:val="18"/>
            <w:szCs w:val="18"/>
            <w:u w:val="single" w:color="auto"/>
            <w:color w:val="0000FF"/>
          </w:rPr>
          <w:t>incorporated herein by reference.</w:t>
        </w:r>
      </w:hyperlink>
    </w:p>
    <w:p>
      <w:pPr>
        <w:spacing w:after="0" w:line="49" w:lineRule="exact"/>
        <w:rPr>
          <w:sz w:val="20"/>
          <w:szCs w:val="20"/>
          <w:color w:val="auto"/>
        </w:rPr>
      </w:pPr>
    </w:p>
    <w:p>
      <w:pPr>
        <w:jc w:val="right"/>
        <w:ind w:left="300" w:right="339"/>
        <w:spacing w:after="0" w:line="21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(4)(vi)     </w:t>
      </w:r>
      <w:hyperlink r:id="rId184">
        <w:r>
          <w:rPr>
            <w:rFonts w:ascii="Times New Roman" w:cs="Times New Roman" w:eastAsia="Times New Roman" w:hAnsi="Times New Roman"/>
            <w:sz w:val="18"/>
            <w:szCs w:val="18"/>
            <w:u w:val="single" w:color="auto"/>
            <w:color w:val="0000FF"/>
          </w:rPr>
          <w:t>Third Supplemental Indenture dated September 3, 2020 between Renasant Corporation and Wilmington Trust, National</w:t>
        </w:r>
      </w:hyperlink>
      <w:r>
        <w:rPr>
          <w:rFonts w:ascii="Times New Roman" w:cs="Times New Roman" w:eastAsia="Times New Roman" w:hAnsi="Times New Roman"/>
          <w:sz w:val="18"/>
          <w:szCs w:val="18"/>
          <w:color w:val="auto"/>
        </w:rPr>
        <w:t xml:space="preserve"> </w:t>
      </w:r>
      <w:hyperlink r:id="rId184">
        <w:r>
          <w:rPr>
            <w:rFonts w:ascii="Times New Roman" w:cs="Times New Roman" w:eastAsia="Times New Roman" w:hAnsi="Times New Roman"/>
            <w:sz w:val="18"/>
            <w:szCs w:val="18"/>
            <w:u w:val="single" w:color="auto"/>
            <w:color w:val="0000FF"/>
          </w:rPr>
          <w:t>Association, filed as exhibit 4.2 to the Form 8-K of the Company filed with the Commission on September 3, 2020 and</w:t>
        </w:r>
      </w:hyperlink>
    </w:p>
    <w:p>
      <w:pPr>
        <w:spacing w:after="0" w:line="1" w:lineRule="exact"/>
        <w:rPr>
          <w:sz w:val="20"/>
          <w:szCs w:val="20"/>
          <w:color w:val="auto"/>
        </w:rPr>
      </w:pPr>
    </w:p>
    <w:p>
      <w:pPr>
        <w:ind w:left="1160"/>
        <w:spacing w:after="0"/>
        <w:rPr>
          <w:rFonts w:ascii="Times New Roman" w:cs="Times New Roman" w:eastAsia="Times New Roman" w:hAnsi="Times New Roman"/>
          <w:sz w:val="18"/>
          <w:szCs w:val="18"/>
          <w:u w:val="single" w:color="auto"/>
          <w:color w:val="0000FF"/>
        </w:rPr>
      </w:pPr>
      <w:hyperlink r:id="rId184">
        <w:r>
          <w:rPr>
            <w:rFonts w:ascii="Times New Roman" w:cs="Times New Roman" w:eastAsia="Times New Roman" w:hAnsi="Times New Roman"/>
            <w:sz w:val="18"/>
            <w:szCs w:val="18"/>
            <w:u w:val="single" w:color="auto"/>
            <w:color w:val="0000FF"/>
          </w:rPr>
          <w:t>incorporated herein by reference.</w:t>
        </w:r>
      </w:hyperlink>
    </w:p>
    <w:p>
      <w:pPr>
        <w:spacing w:after="0" w:line="49" w:lineRule="exact"/>
        <w:rPr>
          <w:sz w:val="20"/>
          <w:szCs w:val="20"/>
          <w:color w:val="auto"/>
        </w:rPr>
      </w:pPr>
    </w:p>
    <w:p>
      <w:pPr>
        <w:jc w:val="right"/>
        <w:ind w:left="280" w:right="339"/>
        <w:spacing w:after="0" w:line="21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(4)(vii)    </w:t>
      </w:r>
      <w:hyperlink r:id="rId185">
        <w:r>
          <w:rPr>
            <w:rFonts w:ascii="Times New Roman" w:cs="Times New Roman" w:eastAsia="Times New Roman" w:hAnsi="Times New Roman"/>
            <w:sz w:val="18"/>
            <w:szCs w:val="18"/>
            <w:u w:val="single" w:color="auto"/>
            <w:color w:val="0000FF"/>
          </w:rPr>
          <w:t>First Amendment to Third Supplemental Indenture dated November 24, 2021 between Renasant Corporation and</w:t>
        </w:r>
      </w:hyperlink>
      <w:r>
        <w:rPr>
          <w:rFonts w:ascii="Times New Roman" w:cs="Times New Roman" w:eastAsia="Times New Roman" w:hAnsi="Times New Roman"/>
          <w:sz w:val="18"/>
          <w:szCs w:val="18"/>
          <w:color w:val="auto"/>
        </w:rPr>
        <w:t xml:space="preserve"> </w:t>
      </w:r>
      <w:hyperlink r:id="rId185">
        <w:r>
          <w:rPr>
            <w:rFonts w:ascii="Times New Roman" w:cs="Times New Roman" w:eastAsia="Times New Roman" w:hAnsi="Times New Roman"/>
            <w:sz w:val="18"/>
            <w:szCs w:val="18"/>
            <w:u w:val="single" w:color="auto"/>
            <w:color w:val="0000FF"/>
          </w:rPr>
          <w:t>Wilmington Trust, National Association, filed as exhibit 4.3 to the Form 8-K of the Company filed with the Commission</w:t>
        </w:r>
      </w:hyperlink>
    </w:p>
    <w:p>
      <w:pPr>
        <w:spacing w:after="0" w:line="1" w:lineRule="exact"/>
        <w:rPr>
          <w:sz w:val="20"/>
          <w:szCs w:val="20"/>
          <w:color w:val="auto"/>
        </w:rPr>
      </w:pPr>
    </w:p>
    <w:p>
      <w:pPr>
        <w:ind w:left="1160"/>
        <w:spacing w:after="0"/>
        <w:rPr>
          <w:rFonts w:ascii="Times New Roman" w:cs="Times New Roman" w:eastAsia="Times New Roman" w:hAnsi="Times New Roman"/>
          <w:sz w:val="18"/>
          <w:szCs w:val="18"/>
          <w:u w:val="single" w:color="auto"/>
          <w:color w:val="0000FF"/>
        </w:rPr>
      </w:pPr>
      <w:hyperlink r:id="rId185">
        <w:r>
          <w:rPr>
            <w:rFonts w:ascii="Times New Roman" w:cs="Times New Roman" w:eastAsia="Times New Roman" w:hAnsi="Times New Roman"/>
            <w:sz w:val="18"/>
            <w:szCs w:val="18"/>
            <w:u w:val="single" w:color="auto"/>
            <w:color w:val="0000FF"/>
          </w:rPr>
          <w:t>on November 24, 2021 and incorporated herein by reference.</w:t>
        </w:r>
      </w:hyperlink>
    </w:p>
    <w:p>
      <w:pPr>
        <w:spacing w:after="0" w:line="49" w:lineRule="exact"/>
        <w:rPr>
          <w:sz w:val="20"/>
          <w:szCs w:val="20"/>
          <w:color w:val="auto"/>
        </w:rPr>
      </w:pPr>
    </w:p>
    <w:p>
      <w:pPr>
        <w:jc w:val="right"/>
        <w:ind w:left="240" w:right="339"/>
        <w:spacing w:after="0" w:line="21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(4)(viii)    </w:t>
      </w:r>
      <w:hyperlink r:id="rId186">
        <w:r>
          <w:rPr>
            <w:rFonts w:ascii="Times New Roman" w:cs="Times New Roman" w:eastAsia="Times New Roman" w:hAnsi="Times New Roman"/>
            <w:sz w:val="18"/>
            <w:szCs w:val="18"/>
            <w:u w:val="single" w:color="auto"/>
            <w:color w:val="0000FF"/>
          </w:rPr>
          <w:t>Fourth Supplemental Indenture dated November 23, 2021 between Renasant Corporation and Wilmington Trust, National</w:t>
        </w:r>
      </w:hyperlink>
      <w:r>
        <w:rPr>
          <w:rFonts w:ascii="Times New Roman" w:cs="Times New Roman" w:eastAsia="Times New Roman" w:hAnsi="Times New Roman"/>
          <w:sz w:val="18"/>
          <w:szCs w:val="18"/>
          <w:color w:val="auto"/>
        </w:rPr>
        <w:t xml:space="preserve"> </w:t>
      </w:r>
      <w:hyperlink r:id="rId186">
        <w:r>
          <w:rPr>
            <w:rFonts w:ascii="Times New Roman" w:cs="Times New Roman" w:eastAsia="Times New Roman" w:hAnsi="Times New Roman"/>
            <w:sz w:val="18"/>
            <w:szCs w:val="18"/>
            <w:u w:val="single" w:color="auto"/>
            <w:color w:val="0000FF"/>
          </w:rPr>
          <w:t>Association, filed as exhibit 4.2 to the Form 8-K of the Company filed with the Commission on November 23, 2021 and</w:t>
        </w:r>
      </w:hyperlink>
    </w:p>
    <w:p>
      <w:pPr>
        <w:spacing w:after="0" w:line="1" w:lineRule="exact"/>
        <w:rPr>
          <w:sz w:val="20"/>
          <w:szCs w:val="20"/>
          <w:color w:val="auto"/>
        </w:rPr>
      </w:pPr>
    </w:p>
    <w:p>
      <w:pPr>
        <w:ind w:left="1160"/>
        <w:spacing w:after="0"/>
        <w:rPr>
          <w:rFonts w:ascii="Times New Roman" w:cs="Times New Roman" w:eastAsia="Times New Roman" w:hAnsi="Times New Roman"/>
          <w:sz w:val="18"/>
          <w:szCs w:val="18"/>
          <w:u w:val="single" w:color="auto"/>
          <w:color w:val="0000FF"/>
        </w:rPr>
      </w:pPr>
      <w:hyperlink r:id="rId186">
        <w:r>
          <w:rPr>
            <w:rFonts w:ascii="Times New Roman" w:cs="Times New Roman" w:eastAsia="Times New Roman" w:hAnsi="Times New Roman"/>
            <w:sz w:val="18"/>
            <w:szCs w:val="18"/>
            <w:u w:val="single" w:color="auto"/>
            <w:color w:val="0000FF"/>
          </w:rPr>
          <w:t>incorporated herein by reference.</w:t>
        </w:r>
      </w:hyperlink>
    </w:p>
    <w:p>
      <w:pPr>
        <w:sectPr>
          <w:pgSz w:w="11900" w:h="16838" w:orient="portrait"/>
          <w:cols w:equalWidth="0" w:num="1">
            <w:col w:w="10139"/>
          </w:cols>
          <w:pgMar w:left="320" w:top="86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160895"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139"/>
          </w:cols>
          <w:pgMar w:left="320" w:top="869" w:right="1440" w:bottom="1440" w:gutter="0" w:footer="0" w:header="0"/>
          <w:type w:val="continuous"/>
        </w:sectPr>
      </w:pPr>
    </w:p>
    <w:bookmarkStart w:id="153" w:name="page154"/>
    <w:bookmarkEnd w:id="153"/>
    <w:p>
      <w:pPr>
        <w:ind w:left="100"/>
        <w:spacing w:after="0"/>
        <w:tabs>
          <w:tab w:leader="none" w:pos="94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8"/>
          <w:szCs w:val="18"/>
          <w:color w:val="auto"/>
        </w:rPr>
        <w:t>(4)(ix)</w:t>
      </w:r>
      <w:r>
        <w:rPr>
          <w:sz w:val="20"/>
          <w:szCs w:val="20"/>
          <w:color w:val="auto"/>
        </w:rPr>
        <w:tab/>
      </w:r>
      <w:hyperlink r:id="rId182">
        <w:r>
          <w:rPr>
            <w:rFonts w:ascii="Times New Roman" w:cs="Times New Roman" w:eastAsia="Times New Roman" w:hAnsi="Times New Roman"/>
            <w:sz w:val="16"/>
            <w:szCs w:val="16"/>
            <w:u w:val="single" w:color="auto"/>
            <w:color w:val="0000FF"/>
          </w:rPr>
          <w:t>Form of 5.0% Fixed-to-Floating Subordinated Note due 2026 (included in exhibit (4)(iv)).</w:t>
        </w:r>
      </w:hyperlink>
    </w:p>
    <w:p>
      <w:pPr>
        <w:spacing w:after="0" w:line="69" w:lineRule="exact"/>
        <w:rPr>
          <w:sz w:val="20"/>
          <w:szCs w:val="20"/>
          <w:color w:val="auto"/>
        </w:rPr>
      </w:pPr>
    </w:p>
    <w:p>
      <w:pPr>
        <w:ind w:left="120"/>
        <w:spacing w:after="0"/>
        <w:tabs>
          <w:tab w:leader="none" w:pos="94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8"/>
          <w:szCs w:val="18"/>
          <w:color w:val="auto"/>
        </w:rPr>
        <w:t>(4)(x)</w:t>
      </w:r>
      <w:r>
        <w:rPr>
          <w:sz w:val="20"/>
          <w:szCs w:val="20"/>
          <w:color w:val="auto"/>
        </w:rPr>
        <w:tab/>
      </w:r>
      <w:hyperlink r:id="rId183">
        <w:r>
          <w:rPr>
            <w:rFonts w:ascii="Times New Roman" w:cs="Times New Roman" w:eastAsia="Times New Roman" w:hAnsi="Times New Roman"/>
            <w:sz w:val="16"/>
            <w:szCs w:val="16"/>
            <w:u w:val="single" w:color="auto"/>
            <w:color w:val="0000FF"/>
          </w:rPr>
          <w:t>Form of 5.50% Fixed-to-Floating Subordinated Note due 2031 (included in exhibit (4)(v)).</w:t>
        </w:r>
      </w:hyperlink>
    </w:p>
    <w:p>
      <w:pPr>
        <w:spacing w:after="0" w:line="69" w:lineRule="exact"/>
        <w:rPr>
          <w:sz w:val="20"/>
          <w:szCs w:val="20"/>
          <w:color w:val="auto"/>
        </w:rPr>
      </w:pPr>
    </w:p>
    <w:p>
      <w:pPr>
        <w:ind w:left="100"/>
        <w:spacing w:after="0"/>
        <w:tabs>
          <w:tab w:leader="none" w:pos="94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8"/>
          <w:szCs w:val="18"/>
          <w:color w:val="auto"/>
        </w:rPr>
        <w:t>(4)(xi)</w:t>
      </w:r>
      <w:r>
        <w:rPr>
          <w:sz w:val="20"/>
          <w:szCs w:val="20"/>
          <w:color w:val="auto"/>
        </w:rPr>
        <w:tab/>
      </w:r>
      <w:hyperlink r:id="rId184">
        <w:r>
          <w:rPr>
            <w:rFonts w:ascii="Times New Roman" w:cs="Times New Roman" w:eastAsia="Times New Roman" w:hAnsi="Times New Roman"/>
            <w:sz w:val="16"/>
            <w:szCs w:val="16"/>
            <w:u w:val="single" w:color="auto"/>
            <w:color w:val="0000FF"/>
          </w:rPr>
          <w:t>Form of 4.50% Fixed-to-Floating Rate Subordinated Note due 2035 (included in exhibit (4)(vi)).</w:t>
        </w:r>
      </w:hyperlink>
    </w:p>
    <w:p>
      <w:pPr>
        <w:spacing w:after="0" w:line="69" w:lineRule="exact"/>
        <w:rPr>
          <w:sz w:val="20"/>
          <w:szCs w:val="20"/>
          <w:color w:val="auto"/>
        </w:rPr>
      </w:pPr>
    </w:p>
    <w:p>
      <w:pPr>
        <w:ind w:left="80"/>
        <w:spacing w:after="0"/>
        <w:tabs>
          <w:tab w:leader="none" w:pos="94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8"/>
          <w:szCs w:val="18"/>
          <w:color w:val="auto"/>
        </w:rPr>
        <w:t>(4)(xii)</w:t>
      </w:r>
      <w:r>
        <w:rPr>
          <w:sz w:val="20"/>
          <w:szCs w:val="20"/>
          <w:color w:val="auto"/>
        </w:rPr>
        <w:tab/>
      </w:r>
      <w:hyperlink r:id="rId186">
        <w:r>
          <w:rPr>
            <w:rFonts w:ascii="Times New Roman" w:cs="Times New Roman" w:eastAsia="Times New Roman" w:hAnsi="Times New Roman"/>
            <w:sz w:val="16"/>
            <w:szCs w:val="16"/>
            <w:u w:val="single" w:color="auto"/>
            <w:color w:val="0000FF"/>
          </w:rPr>
          <w:t>Form of 3.00% Fixed-to-Floating Rate Subordinated Note due 2031 (included in exhibit (4)(viii)).</w:t>
        </w:r>
      </w:hyperlink>
    </w:p>
    <w:p>
      <w:pPr>
        <w:spacing w:after="0" w:line="69" w:lineRule="exact"/>
        <w:rPr>
          <w:sz w:val="20"/>
          <w:szCs w:val="20"/>
          <w:color w:val="auto"/>
        </w:rPr>
      </w:pPr>
    </w:p>
    <w:p>
      <w:pPr>
        <w:jc w:val="right"/>
        <w:ind w:left="40" w:right="339"/>
        <w:spacing w:after="0" w:line="21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(4)(xiii)    </w:t>
      </w:r>
      <w:hyperlink r:id="rId188">
        <w:r>
          <w:rPr>
            <w:rFonts w:ascii="Times New Roman" w:cs="Times New Roman" w:eastAsia="Times New Roman" w:hAnsi="Times New Roman"/>
            <w:sz w:val="18"/>
            <w:szCs w:val="18"/>
            <w:u w:val="single" w:color="auto"/>
            <w:color w:val="0000FF"/>
          </w:rPr>
          <w:t>Indenture, dated as of November 24, 2023, between FMB Banking Corporation and The Bank of New York, filed as</w:t>
        </w:r>
      </w:hyperlink>
      <w:r>
        <w:rPr>
          <w:rFonts w:ascii="Times New Roman" w:cs="Times New Roman" w:eastAsia="Times New Roman" w:hAnsi="Times New Roman"/>
          <w:sz w:val="18"/>
          <w:szCs w:val="18"/>
          <w:color w:val="auto"/>
        </w:rPr>
        <w:t xml:space="preserve"> </w:t>
      </w:r>
      <w:hyperlink r:id="rId188">
        <w:r>
          <w:rPr>
            <w:rFonts w:ascii="Times New Roman" w:cs="Times New Roman" w:eastAsia="Times New Roman" w:hAnsi="Times New Roman"/>
            <w:sz w:val="18"/>
            <w:szCs w:val="18"/>
            <w:u w:val="single" w:color="auto"/>
            <w:color w:val="0000FF"/>
          </w:rPr>
          <w:t>exhibit 4.1 to the Form 8-K of the Company filed with the Commission on April 4, 2025, and incorporated herein by</w:t>
        </w:r>
      </w:hyperlink>
    </w:p>
    <w:p>
      <w:pPr>
        <w:spacing w:after="0" w:line="1" w:lineRule="exact"/>
        <w:rPr>
          <w:sz w:val="20"/>
          <w:szCs w:val="20"/>
          <w:color w:val="auto"/>
        </w:rPr>
      </w:pPr>
    </w:p>
    <w:p>
      <w:pPr>
        <w:ind w:left="960"/>
        <w:spacing w:after="0"/>
        <w:rPr>
          <w:rFonts w:ascii="Times New Roman" w:cs="Times New Roman" w:eastAsia="Times New Roman" w:hAnsi="Times New Roman"/>
          <w:sz w:val="18"/>
          <w:szCs w:val="18"/>
          <w:u w:val="single" w:color="auto"/>
          <w:color w:val="0000FF"/>
        </w:rPr>
      </w:pPr>
      <w:hyperlink r:id="rId188">
        <w:r>
          <w:rPr>
            <w:rFonts w:ascii="Times New Roman" w:cs="Times New Roman" w:eastAsia="Times New Roman" w:hAnsi="Times New Roman"/>
            <w:sz w:val="18"/>
            <w:szCs w:val="18"/>
            <w:u w:val="single" w:color="auto"/>
            <w:color w:val="0000FF"/>
          </w:rPr>
          <w:t>reference.</w:t>
        </w:r>
      </w:hyperlink>
    </w:p>
    <w:p>
      <w:pPr>
        <w:spacing w:after="0" w:line="49" w:lineRule="exact"/>
        <w:rPr>
          <w:sz w:val="20"/>
          <w:szCs w:val="20"/>
          <w:color w:val="auto"/>
        </w:rPr>
      </w:pPr>
    </w:p>
    <w:p>
      <w:pPr>
        <w:jc w:val="right"/>
        <w:ind w:left="60" w:right="339"/>
        <w:spacing w:after="0" w:line="21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(4)(xiv)    </w:t>
      </w:r>
      <w:hyperlink r:id="rId189">
        <w:r>
          <w:rPr>
            <w:rFonts w:ascii="Times New Roman" w:cs="Times New Roman" w:eastAsia="Times New Roman" w:hAnsi="Times New Roman"/>
            <w:sz w:val="18"/>
            <w:szCs w:val="18"/>
            <w:u w:val="single" w:color="auto"/>
            <w:color w:val="0000FF"/>
          </w:rPr>
          <w:t>Supplemental Indenture, dated as of October 31, 2018, among Bank of New York Mellon, The First Bancshares, Inc. and</w:t>
        </w:r>
      </w:hyperlink>
      <w:r>
        <w:rPr>
          <w:rFonts w:ascii="Times New Roman" w:cs="Times New Roman" w:eastAsia="Times New Roman" w:hAnsi="Times New Roman"/>
          <w:sz w:val="18"/>
          <w:szCs w:val="18"/>
          <w:color w:val="auto"/>
        </w:rPr>
        <w:t xml:space="preserve"> </w:t>
      </w:r>
      <w:hyperlink r:id="rId189">
        <w:r>
          <w:rPr>
            <w:rFonts w:ascii="Times New Roman" w:cs="Times New Roman" w:eastAsia="Times New Roman" w:hAnsi="Times New Roman"/>
            <w:sz w:val="18"/>
            <w:szCs w:val="18"/>
            <w:u w:val="single" w:color="auto"/>
            <w:color w:val="0000FF"/>
          </w:rPr>
          <w:t>FMB Banking Corporation, to Indenture, dated November 24, 2003, between FMB Banking Corporation and The Bank of</w:t>
        </w:r>
      </w:hyperlink>
    </w:p>
    <w:p>
      <w:pPr>
        <w:spacing w:after="0" w:line="1" w:lineRule="exact"/>
        <w:rPr>
          <w:sz w:val="20"/>
          <w:szCs w:val="20"/>
          <w:color w:val="auto"/>
        </w:rPr>
      </w:pPr>
    </w:p>
    <w:p>
      <w:pPr>
        <w:ind w:left="960" w:right="339"/>
        <w:spacing w:after="0" w:line="219" w:lineRule="auto"/>
        <w:rPr>
          <w:rFonts w:ascii="Times New Roman" w:cs="Times New Roman" w:eastAsia="Times New Roman" w:hAnsi="Times New Roman"/>
          <w:sz w:val="18"/>
          <w:szCs w:val="18"/>
          <w:u w:val="single" w:color="auto"/>
          <w:color w:val="0000FF"/>
        </w:rPr>
      </w:pPr>
      <w:hyperlink r:id="rId189">
        <w:r>
          <w:rPr>
            <w:rFonts w:ascii="Times New Roman" w:cs="Times New Roman" w:eastAsia="Times New Roman" w:hAnsi="Times New Roman"/>
            <w:sz w:val="18"/>
            <w:szCs w:val="18"/>
            <w:u w:val="single" w:color="auto"/>
            <w:color w:val="0000FF"/>
          </w:rPr>
          <w:t>New York, filed as exhibit 4.2 to the Form 8-K of the Company filed with the Commission on April 4, 2025, and</w:t>
        </w:r>
      </w:hyperlink>
      <w:r>
        <w:rPr>
          <w:rFonts w:ascii="Times New Roman" w:cs="Times New Roman" w:eastAsia="Times New Roman" w:hAnsi="Times New Roman"/>
          <w:sz w:val="18"/>
          <w:szCs w:val="18"/>
          <w:u w:val="single" w:color="auto"/>
          <w:color w:val="0000FF"/>
        </w:rPr>
        <w:t xml:space="preserve"> </w:t>
      </w:r>
      <w:hyperlink r:id="rId189">
        <w:r>
          <w:rPr>
            <w:rFonts w:ascii="Times New Roman" w:cs="Times New Roman" w:eastAsia="Times New Roman" w:hAnsi="Times New Roman"/>
            <w:sz w:val="18"/>
            <w:szCs w:val="18"/>
            <w:u w:val="single" w:color="auto"/>
            <w:color w:val="0000FF"/>
          </w:rPr>
          <w:t>incorporated herein by reference.</w:t>
        </w:r>
      </w:hyperlink>
    </w:p>
    <w:p>
      <w:pPr>
        <w:spacing w:after="0" w:line="208" w:lineRule="exact"/>
        <w:rPr>
          <w:sz w:val="20"/>
          <w:szCs w:val="20"/>
          <w:color w:val="auto"/>
        </w:rPr>
      </w:pPr>
    </w:p>
    <w:p>
      <w:pPr>
        <w:jc w:val="right"/>
        <w:ind w:left="80" w:right="339"/>
        <w:spacing w:after="0" w:line="21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(4)(xv)    </w:t>
      </w:r>
      <w:hyperlink r:id="rId190">
        <w:r>
          <w:rPr>
            <w:rFonts w:ascii="Times New Roman" w:cs="Times New Roman" w:eastAsia="Times New Roman" w:hAnsi="Times New Roman"/>
            <w:sz w:val="18"/>
            <w:szCs w:val="18"/>
            <w:u w:val="single" w:color="auto"/>
            <w:color w:val="0000FF"/>
          </w:rPr>
          <w:t>Second Supplemental Indenture, dated as of April 1, 2025, among Bank of New York Mellon Trust Company, Renasant</w:t>
        </w:r>
      </w:hyperlink>
      <w:r>
        <w:rPr>
          <w:rFonts w:ascii="Times New Roman" w:cs="Times New Roman" w:eastAsia="Times New Roman" w:hAnsi="Times New Roman"/>
          <w:sz w:val="18"/>
          <w:szCs w:val="18"/>
          <w:color w:val="auto"/>
        </w:rPr>
        <w:t xml:space="preserve"> </w:t>
      </w:r>
      <w:hyperlink r:id="rId190">
        <w:r>
          <w:rPr>
            <w:rFonts w:ascii="Times New Roman" w:cs="Times New Roman" w:eastAsia="Times New Roman" w:hAnsi="Times New Roman"/>
            <w:sz w:val="18"/>
            <w:szCs w:val="18"/>
            <w:u w:val="single" w:color="auto"/>
            <w:color w:val="0000FF"/>
          </w:rPr>
          <w:t>Corporation, and The First Bancshares, Inc., to Indenture, dated November 24, 2003, between FMB Banking Corporation</w:t>
        </w:r>
      </w:hyperlink>
    </w:p>
    <w:p>
      <w:pPr>
        <w:spacing w:after="0" w:line="1" w:lineRule="exact"/>
        <w:rPr>
          <w:sz w:val="20"/>
          <w:szCs w:val="20"/>
          <w:color w:val="auto"/>
        </w:rPr>
      </w:pPr>
    </w:p>
    <w:p>
      <w:pPr>
        <w:ind w:left="960" w:right="339"/>
        <w:spacing w:after="0" w:line="219" w:lineRule="auto"/>
        <w:rPr>
          <w:rFonts w:ascii="Times New Roman" w:cs="Times New Roman" w:eastAsia="Times New Roman" w:hAnsi="Times New Roman"/>
          <w:sz w:val="18"/>
          <w:szCs w:val="18"/>
          <w:u w:val="single" w:color="auto"/>
          <w:color w:val="0000FF"/>
        </w:rPr>
      </w:pPr>
      <w:hyperlink r:id="rId190">
        <w:r>
          <w:rPr>
            <w:rFonts w:ascii="Times New Roman" w:cs="Times New Roman" w:eastAsia="Times New Roman" w:hAnsi="Times New Roman"/>
            <w:sz w:val="18"/>
            <w:szCs w:val="18"/>
            <w:u w:val="single" w:color="auto"/>
            <w:color w:val="0000FF"/>
          </w:rPr>
          <w:t>and The Bank of New York, filed as exhibit 4.3 to the Form 8-K of the Company filed with the Commission on April 4,</w:t>
        </w:r>
      </w:hyperlink>
      <w:r>
        <w:rPr>
          <w:rFonts w:ascii="Times New Roman" w:cs="Times New Roman" w:eastAsia="Times New Roman" w:hAnsi="Times New Roman"/>
          <w:sz w:val="18"/>
          <w:szCs w:val="18"/>
          <w:u w:val="single" w:color="auto"/>
          <w:color w:val="0000FF"/>
        </w:rPr>
        <w:t xml:space="preserve"> </w:t>
      </w:r>
      <w:hyperlink r:id="rId190">
        <w:r>
          <w:rPr>
            <w:rFonts w:ascii="Times New Roman" w:cs="Times New Roman" w:eastAsia="Times New Roman" w:hAnsi="Times New Roman"/>
            <w:sz w:val="18"/>
            <w:szCs w:val="18"/>
            <w:u w:val="single" w:color="auto"/>
            <w:color w:val="0000FF"/>
          </w:rPr>
          <w:t>202, and incorporated herein by reference.</w:t>
        </w:r>
      </w:hyperlink>
    </w:p>
    <w:p>
      <w:pPr>
        <w:spacing w:after="0" w:line="34" w:lineRule="exact"/>
        <w:rPr>
          <w:sz w:val="20"/>
          <w:szCs w:val="20"/>
          <w:color w:val="auto"/>
        </w:rPr>
      </w:pPr>
    </w:p>
    <w:p>
      <w:pPr>
        <w:ind w:left="60"/>
        <w:spacing w:after="0"/>
        <w:tabs>
          <w:tab w:leader="none" w:pos="94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8"/>
          <w:szCs w:val="18"/>
          <w:color w:val="auto"/>
        </w:rPr>
        <w:t>(4)(xvi)</w:t>
      </w:r>
      <w:r>
        <w:rPr>
          <w:sz w:val="20"/>
          <w:szCs w:val="20"/>
          <w:color w:val="auto"/>
        </w:rPr>
        <w:tab/>
      </w:r>
      <w:hyperlink r:id="rId191">
        <w:r>
          <w:rPr>
            <w:rFonts w:ascii="Times New Roman" w:cs="Times New Roman" w:eastAsia="Times New Roman" w:hAnsi="Times New Roman"/>
            <w:sz w:val="16"/>
            <w:szCs w:val="16"/>
            <w:u w:val="single" w:color="auto"/>
            <w:color w:val="0000FF"/>
          </w:rPr>
          <w:t>Indenture, dated as of August 10, 2016, between Liberty Shares, Inc. and U.S. Bank National Association, filed as exhibit</w:t>
        </w:r>
      </w:hyperlink>
    </w:p>
    <w:p>
      <w:pPr>
        <w:ind w:left="960"/>
        <w:spacing w:after="0"/>
        <w:rPr>
          <w:rFonts w:ascii="Times New Roman" w:cs="Times New Roman" w:eastAsia="Times New Roman" w:hAnsi="Times New Roman"/>
          <w:sz w:val="18"/>
          <w:szCs w:val="18"/>
          <w:u w:val="single" w:color="auto"/>
          <w:color w:val="0000FF"/>
        </w:rPr>
      </w:pPr>
      <w:hyperlink r:id="rId191">
        <w:r>
          <w:rPr>
            <w:rFonts w:ascii="Times New Roman" w:cs="Times New Roman" w:eastAsia="Times New Roman" w:hAnsi="Times New Roman"/>
            <w:sz w:val="18"/>
            <w:szCs w:val="18"/>
            <w:u w:val="single" w:color="auto"/>
            <w:color w:val="0000FF"/>
          </w:rPr>
          <w:t>4.4 to the Form 8-K of the Company filed with the Commission on April 4, 2025, and incorporated herein by reference.</w:t>
        </w:r>
      </w:hyperlink>
    </w:p>
    <w:p>
      <w:pPr>
        <w:spacing w:after="0" w:line="63" w:lineRule="exact"/>
        <w:rPr>
          <w:sz w:val="20"/>
          <w:szCs w:val="20"/>
          <w:color w:val="auto"/>
        </w:rPr>
      </w:pPr>
    </w:p>
    <w:p>
      <w:pPr>
        <w:jc w:val="right"/>
        <w:ind w:left="20" w:right="339"/>
        <w:spacing w:after="0" w:line="21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(4)(xvii)    </w:t>
      </w:r>
      <w:hyperlink r:id="rId192">
        <w:r>
          <w:rPr>
            <w:rFonts w:ascii="Times New Roman" w:cs="Times New Roman" w:eastAsia="Times New Roman" w:hAnsi="Times New Roman"/>
            <w:sz w:val="18"/>
            <w:szCs w:val="18"/>
            <w:u w:val="single" w:color="auto"/>
            <w:color w:val="0000FF"/>
          </w:rPr>
          <w:t>First Supplemental Indenture, dated as of August 30, 2019, among Heritage Bancorporation, Inc., CCF Holding Company</w:t>
        </w:r>
      </w:hyperlink>
      <w:r>
        <w:rPr>
          <w:rFonts w:ascii="Times New Roman" w:cs="Times New Roman" w:eastAsia="Times New Roman" w:hAnsi="Times New Roman"/>
          <w:sz w:val="18"/>
          <w:szCs w:val="18"/>
          <w:color w:val="auto"/>
        </w:rPr>
        <w:t xml:space="preserve"> </w:t>
      </w:r>
      <w:hyperlink r:id="rId192">
        <w:r>
          <w:rPr>
            <w:rFonts w:ascii="Times New Roman" w:cs="Times New Roman" w:eastAsia="Times New Roman" w:hAnsi="Times New Roman"/>
            <w:sz w:val="18"/>
            <w:szCs w:val="18"/>
            <w:u w:val="single" w:color="auto"/>
            <w:color w:val="0000FF"/>
          </w:rPr>
          <w:t>and U.S. Bank National Association, to Indenture, dated August 10, 2016, between Liberty Shares, Inc. and U.S. Bank</w:t>
        </w:r>
      </w:hyperlink>
    </w:p>
    <w:p>
      <w:pPr>
        <w:spacing w:after="0" w:line="1" w:lineRule="exact"/>
        <w:rPr>
          <w:sz w:val="20"/>
          <w:szCs w:val="20"/>
          <w:color w:val="auto"/>
        </w:rPr>
      </w:pPr>
    </w:p>
    <w:p>
      <w:pPr>
        <w:ind w:left="960" w:right="339"/>
        <w:spacing w:after="0" w:line="219" w:lineRule="auto"/>
        <w:rPr>
          <w:rFonts w:ascii="Times New Roman" w:cs="Times New Roman" w:eastAsia="Times New Roman" w:hAnsi="Times New Roman"/>
          <w:sz w:val="18"/>
          <w:szCs w:val="18"/>
          <w:u w:val="single" w:color="auto"/>
          <w:color w:val="0000FF"/>
        </w:rPr>
      </w:pPr>
      <w:hyperlink r:id="rId192">
        <w:r>
          <w:rPr>
            <w:rFonts w:ascii="Times New Roman" w:cs="Times New Roman" w:eastAsia="Times New Roman" w:hAnsi="Times New Roman"/>
            <w:sz w:val="18"/>
            <w:szCs w:val="18"/>
            <w:u w:val="single" w:color="auto"/>
            <w:color w:val="0000FF"/>
          </w:rPr>
          <w:t>National Association, filed as exhibit 4.5 to the Form 8-K of the Company filed with the Commission on April 4, 2025,</w:t>
        </w:r>
      </w:hyperlink>
      <w:r>
        <w:rPr>
          <w:rFonts w:ascii="Times New Roman" w:cs="Times New Roman" w:eastAsia="Times New Roman" w:hAnsi="Times New Roman"/>
          <w:sz w:val="18"/>
          <w:szCs w:val="18"/>
          <w:u w:val="single" w:color="auto"/>
          <w:color w:val="0000FF"/>
        </w:rPr>
        <w:t xml:space="preserve"> </w:t>
      </w:r>
      <w:hyperlink r:id="rId192">
        <w:r>
          <w:rPr>
            <w:rFonts w:ascii="Times New Roman" w:cs="Times New Roman" w:eastAsia="Times New Roman" w:hAnsi="Times New Roman"/>
            <w:sz w:val="18"/>
            <w:szCs w:val="18"/>
            <w:u w:val="single" w:color="auto"/>
            <w:color w:val="0000FF"/>
          </w:rPr>
          <w:t>and incorporated herein by reference.</w:t>
        </w:r>
      </w:hyperlink>
    </w:p>
    <w:p>
      <w:pPr>
        <w:spacing w:after="0" w:line="50" w:lineRule="exact"/>
        <w:rPr>
          <w:sz w:val="20"/>
          <w:szCs w:val="20"/>
          <w:color w:val="auto"/>
        </w:rPr>
      </w:pPr>
    </w:p>
    <w:p>
      <w:pPr>
        <w:jc w:val="right"/>
        <w:ind w:right="339"/>
        <w:spacing w:after="0" w:line="21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(4)(xviii)    </w:t>
      </w:r>
      <w:hyperlink r:id="rId193">
        <w:r>
          <w:rPr>
            <w:rFonts w:ascii="Times New Roman" w:cs="Times New Roman" w:eastAsia="Times New Roman" w:hAnsi="Times New Roman"/>
            <w:sz w:val="18"/>
            <w:szCs w:val="18"/>
            <w:u w:val="single" w:color="auto"/>
            <w:color w:val="0000FF"/>
          </w:rPr>
          <w:t>Second Supplemental Indenture, dated as of December 30, 2022, among Heritage Southeast Bancorporation, Inc., U.S.</w:t>
        </w:r>
      </w:hyperlink>
      <w:r>
        <w:rPr>
          <w:rFonts w:ascii="Times New Roman" w:cs="Times New Roman" w:eastAsia="Times New Roman" w:hAnsi="Times New Roman"/>
          <w:sz w:val="18"/>
          <w:szCs w:val="18"/>
          <w:color w:val="auto"/>
        </w:rPr>
        <w:t xml:space="preserve"> </w:t>
      </w:r>
      <w:hyperlink r:id="rId193">
        <w:r>
          <w:rPr>
            <w:rFonts w:ascii="Times New Roman" w:cs="Times New Roman" w:eastAsia="Times New Roman" w:hAnsi="Times New Roman"/>
            <w:sz w:val="18"/>
            <w:szCs w:val="18"/>
            <w:u w:val="single" w:color="auto"/>
            <w:color w:val="0000FF"/>
          </w:rPr>
          <w:t>Bank National Association and The First Bancshares, Inc. to Indenture, dated August 10, 2016, between Liberty Shares,</w:t>
        </w:r>
      </w:hyperlink>
    </w:p>
    <w:p>
      <w:pPr>
        <w:spacing w:after="0" w:line="1" w:lineRule="exact"/>
        <w:rPr>
          <w:sz w:val="20"/>
          <w:szCs w:val="20"/>
          <w:color w:val="auto"/>
        </w:rPr>
      </w:pPr>
    </w:p>
    <w:p>
      <w:pPr>
        <w:ind w:left="960" w:right="339"/>
        <w:spacing w:after="0" w:line="219" w:lineRule="auto"/>
        <w:rPr>
          <w:rFonts w:ascii="Times New Roman" w:cs="Times New Roman" w:eastAsia="Times New Roman" w:hAnsi="Times New Roman"/>
          <w:sz w:val="18"/>
          <w:szCs w:val="18"/>
          <w:u w:val="single" w:color="auto"/>
          <w:color w:val="0000FF"/>
        </w:rPr>
      </w:pPr>
      <w:hyperlink r:id="rId193">
        <w:r>
          <w:rPr>
            <w:rFonts w:ascii="Times New Roman" w:cs="Times New Roman" w:eastAsia="Times New Roman" w:hAnsi="Times New Roman"/>
            <w:sz w:val="18"/>
            <w:szCs w:val="18"/>
            <w:u w:val="single" w:color="auto"/>
            <w:color w:val="0000FF"/>
          </w:rPr>
          <w:t>Inc. and U.S. Bank National Association, filed as exhibit 4.6 to the Form 8-K of the Company filed with the Commission</w:t>
        </w:r>
      </w:hyperlink>
      <w:r>
        <w:rPr>
          <w:rFonts w:ascii="Times New Roman" w:cs="Times New Roman" w:eastAsia="Times New Roman" w:hAnsi="Times New Roman"/>
          <w:sz w:val="18"/>
          <w:szCs w:val="18"/>
          <w:u w:val="single" w:color="auto"/>
          <w:color w:val="0000FF"/>
        </w:rPr>
        <w:t xml:space="preserve"> </w:t>
      </w:r>
      <w:hyperlink r:id="rId193">
        <w:r>
          <w:rPr>
            <w:rFonts w:ascii="Times New Roman" w:cs="Times New Roman" w:eastAsia="Times New Roman" w:hAnsi="Times New Roman"/>
            <w:sz w:val="18"/>
            <w:szCs w:val="18"/>
            <w:u w:val="single" w:color="auto"/>
            <w:color w:val="0000FF"/>
          </w:rPr>
          <w:t>on April 4, 2025, and incorporated herein by reference.</w:t>
        </w:r>
      </w:hyperlink>
    </w:p>
    <w:p>
      <w:pPr>
        <w:spacing w:after="0" w:line="50" w:lineRule="exact"/>
        <w:rPr>
          <w:sz w:val="20"/>
          <w:szCs w:val="20"/>
          <w:color w:val="auto"/>
        </w:rPr>
      </w:pPr>
    </w:p>
    <w:p>
      <w:pPr>
        <w:jc w:val="right"/>
        <w:ind w:left="60" w:right="339"/>
        <w:spacing w:after="0" w:line="21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(4)(xix)    </w:t>
      </w:r>
      <w:hyperlink r:id="rId194">
        <w:r>
          <w:rPr>
            <w:rFonts w:ascii="Times New Roman" w:cs="Times New Roman" w:eastAsia="Times New Roman" w:hAnsi="Times New Roman"/>
            <w:sz w:val="18"/>
            <w:szCs w:val="18"/>
            <w:u w:val="single" w:color="auto"/>
            <w:color w:val="0000FF"/>
          </w:rPr>
          <w:t>Third Supplemental Indenture, dated as of April 1, 2025, to Indenture, dated August 10, 2016, between U.S. Bank Trust</w:t>
        </w:r>
      </w:hyperlink>
      <w:r>
        <w:rPr>
          <w:rFonts w:ascii="Times New Roman" w:cs="Times New Roman" w:eastAsia="Times New Roman" w:hAnsi="Times New Roman"/>
          <w:sz w:val="18"/>
          <w:szCs w:val="18"/>
          <w:color w:val="auto"/>
        </w:rPr>
        <w:t xml:space="preserve"> </w:t>
      </w:r>
      <w:hyperlink r:id="rId194">
        <w:r>
          <w:rPr>
            <w:rFonts w:ascii="Times New Roman" w:cs="Times New Roman" w:eastAsia="Times New Roman" w:hAnsi="Times New Roman"/>
            <w:sz w:val="18"/>
            <w:szCs w:val="18"/>
            <w:u w:val="single" w:color="auto"/>
            <w:color w:val="0000FF"/>
          </w:rPr>
          <w:t>Company, National Association, Renasant Corporation, and The First Bancshares, Inc., filed as exhibit 4.7 to the Form 8-K</w:t>
        </w:r>
      </w:hyperlink>
    </w:p>
    <w:p>
      <w:pPr>
        <w:spacing w:after="0" w:line="1" w:lineRule="exact"/>
        <w:rPr>
          <w:sz w:val="20"/>
          <w:szCs w:val="20"/>
          <w:color w:val="auto"/>
        </w:rPr>
      </w:pPr>
    </w:p>
    <w:p>
      <w:pPr>
        <w:ind w:left="960"/>
        <w:spacing w:after="0"/>
        <w:rPr>
          <w:rFonts w:ascii="Times New Roman" w:cs="Times New Roman" w:eastAsia="Times New Roman" w:hAnsi="Times New Roman"/>
          <w:sz w:val="18"/>
          <w:szCs w:val="18"/>
          <w:u w:val="single" w:color="auto"/>
          <w:color w:val="0000FF"/>
        </w:rPr>
      </w:pPr>
      <w:hyperlink r:id="rId194">
        <w:r>
          <w:rPr>
            <w:rFonts w:ascii="Times New Roman" w:cs="Times New Roman" w:eastAsia="Times New Roman" w:hAnsi="Times New Roman"/>
            <w:sz w:val="18"/>
            <w:szCs w:val="18"/>
            <w:u w:val="single" w:color="auto"/>
            <w:color w:val="0000FF"/>
          </w:rPr>
          <w:t>of the Company filed with the Commission on April 4, 2025, and incorporated herein by reference.</w:t>
        </w:r>
      </w:hyperlink>
    </w:p>
    <w:p>
      <w:pPr>
        <w:spacing w:after="0" w:line="49" w:lineRule="exact"/>
        <w:rPr>
          <w:sz w:val="20"/>
          <w:szCs w:val="20"/>
          <w:color w:val="auto"/>
        </w:rPr>
      </w:pPr>
    </w:p>
    <w:p>
      <w:pPr>
        <w:jc w:val="right"/>
        <w:ind w:left="80" w:right="339"/>
        <w:spacing w:after="0" w:line="21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(4)(xx)    </w:t>
      </w:r>
      <w:hyperlink r:id="rId195">
        <w:r>
          <w:rPr>
            <w:rFonts w:ascii="Times New Roman" w:cs="Times New Roman" w:eastAsia="Times New Roman" w:hAnsi="Times New Roman"/>
            <w:sz w:val="18"/>
            <w:szCs w:val="18"/>
            <w:u w:val="single" w:color="auto"/>
            <w:color w:val="0000FF"/>
          </w:rPr>
          <w:t>Junior Subordinated Indenture, dated as of June 30, 2006, between The First Bancshares, Inc. and Wilmington Trust</w:t>
        </w:r>
      </w:hyperlink>
      <w:r>
        <w:rPr>
          <w:rFonts w:ascii="Times New Roman" w:cs="Times New Roman" w:eastAsia="Times New Roman" w:hAnsi="Times New Roman"/>
          <w:sz w:val="18"/>
          <w:szCs w:val="18"/>
          <w:color w:val="auto"/>
        </w:rPr>
        <w:t xml:space="preserve"> </w:t>
      </w:r>
      <w:hyperlink r:id="rId195">
        <w:r>
          <w:rPr>
            <w:rFonts w:ascii="Times New Roman" w:cs="Times New Roman" w:eastAsia="Times New Roman" w:hAnsi="Times New Roman"/>
            <w:sz w:val="18"/>
            <w:szCs w:val="18"/>
            <w:u w:val="single" w:color="auto"/>
            <w:color w:val="0000FF"/>
          </w:rPr>
          <w:t>Company, filed as exhibit 4.8 to the Form 8-K of the Company filed with the Commission on April 4, 2025, and</w:t>
        </w:r>
      </w:hyperlink>
    </w:p>
    <w:p>
      <w:pPr>
        <w:spacing w:after="0" w:line="1" w:lineRule="exact"/>
        <w:rPr>
          <w:sz w:val="20"/>
          <w:szCs w:val="20"/>
          <w:color w:val="auto"/>
        </w:rPr>
      </w:pPr>
    </w:p>
    <w:p>
      <w:pPr>
        <w:ind w:left="960"/>
        <w:spacing w:after="0"/>
        <w:rPr>
          <w:rFonts w:ascii="Times New Roman" w:cs="Times New Roman" w:eastAsia="Times New Roman" w:hAnsi="Times New Roman"/>
          <w:sz w:val="18"/>
          <w:szCs w:val="18"/>
          <w:u w:val="single" w:color="auto"/>
          <w:color w:val="0000FF"/>
        </w:rPr>
      </w:pPr>
      <w:hyperlink r:id="rId195">
        <w:r>
          <w:rPr>
            <w:rFonts w:ascii="Times New Roman" w:cs="Times New Roman" w:eastAsia="Times New Roman" w:hAnsi="Times New Roman"/>
            <w:sz w:val="18"/>
            <w:szCs w:val="18"/>
            <w:u w:val="single" w:color="auto"/>
            <w:color w:val="0000FF"/>
          </w:rPr>
          <w:t>incorporated herein by reference.</w:t>
        </w:r>
      </w:hyperlink>
    </w:p>
    <w:p>
      <w:pPr>
        <w:spacing w:after="0" w:line="49" w:lineRule="exact"/>
        <w:rPr>
          <w:sz w:val="20"/>
          <w:szCs w:val="20"/>
          <w:color w:val="auto"/>
        </w:rPr>
      </w:pPr>
    </w:p>
    <w:p>
      <w:pPr>
        <w:jc w:val="right"/>
        <w:ind w:left="60" w:right="339"/>
        <w:spacing w:after="0" w:line="21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(4)(xxi)    </w:t>
      </w:r>
      <w:hyperlink r:id="rId196">
        <w:r>
          <w:rPr>
            <w:rFonts w:ascii="Times New Roman" w:cs="Times New Roman" w:eastAsia="Times New Roman" w:hAnsi="Times New Roman"/>
            <w:sz w:val="18"/>
            <w:szCs w:val="18"/>
            <w:u w:val="single" w:color="auto"/>
            <w:color w:val="0000FF"/>
          </w:rPr>
          <w:t>First Supplemental Indenture, dated as of April 1, 2025, among The First Bancshares, Inc.and Wilmington Trust Company,</w:t>
        </w:r>
      </w:hyperlink>
      <w:r>
        <w:rPr>
          <w:rFonts w:ascii="Times New Roman" w:cs="Times New Roman" w:eastAsia="Times New Roman" w:hAnsi="Times New Roman"/>
          <w:sz w:val="18"/>
          <w:szCs w:val="18"/>
          <w:color w:val="auto"/>
        </w:rPr>
        <w:t xml:space="preserve"> </w:t>
      </w:r>
      <w:hyperlink r:id="rId196">
        <w:r>
          <w:rPr>
            <w:rFonts w:ascii="Times New Roman" w:cs="Times New Roman" w:eastAsia="Times New Roman" w:hAnsi="Times New Roman"/>
            <w:sz w:val="18"/>
            <w:szCs w:val="18"/>
            <w:u w:val="single" w:color="auto"/>
            <w:color w:val="0000FF"/>
          </w:rPr>
          <w:t>to Junior Subordinated Indenture, dated as of June 30, 2006, between The First Bancshares, Inc. and Wilmington Trust</w:t>
        </w:r>
      </w:hyperlink>
    </w:p>
    <w:p>
      <w:pPr>
        <w:spacing w:after="0" w:line="1" w:lineRule="exact"/>
        <w:rPr>
          <w:sz w:val="20"/>
          <w:szCs w:val="20"/>
          <w:color w:val="auto"/>
        </w:rPr>
      </w:pPr>
    </w:p>
    <w:p>
      <w:pPr>
        <w:ind w:left="960" w:right="339"/>
        <w:spacing w:after="0" w:line="219" w:lineRule="auto"/>
        <w:rPr>
          <w:rFonts w:ascii="Times New Roman" w:cs="Times New Roman" w:eastAsia="Times New Roman" w:hAnsi="Times New Roman"/>
          <w:sz w:val="18"/>
          <w:szCs w:val="18"/>
          <w:u w:val="single" w:color="auto"/>
          <w:color w:val="0000FF"/>
        </w:rPr>
      </w:pPr>
      <w:hyperlink r:id="rId196">
        <w:r>
          <w:rPr>
            <w:rFonts w:ascii="Times New Roman" w:cs="Times New Roman" w:eastAsia="Times New Roman" w:hAnsi="Times New Roman"/>
            <w:sz w:val="18"/>
            <w:szCs w:val="18"/>
            <w:u w:val="single" w:color="auto"/>
            <w:color w:val="0000FF"/>
          </w:rPr>
          <w:t>Company, filed as exhibit 4.9 to the Form 8-K of the Company filed with the Commission on April 4, 2025, and</w:t>
        </w:r>
      </w:hyperlink>
      <w:r>
        <w:rPr>
          <w:rFonts w:ascii="Times New Roman" w:cs="Times New Roman" w:eastAsia="Times New Roman" w:hAnsi="Times New Roman"/>
          <w:sz w:val="18"/>
          <w:szCs w:val="18"/>
          <w:u w:val="single" w:color="auto"/>
          <w:color w:val="0000FF"/>
        </w:rPr>
        <w:t xml:space="preserve"> </w:t>
      </w:r>
      <w:hyperlink r:id="rId196">
        <w:r>
          <w:rPr>
            <w:rFonts w:ascii="Times New Roman" w:cs="Times New Roman" w:eastAsia="Times New Roman" w:hAnsi="Times New Roman"/>
            <w:sz w:val="18"/>
            <w:szCs w:val="18"/>
            <w:u w:val="single" w:color="auto"/>
            <w:color w:val="0000FF"/>
          </w:rPr>
          <w:t>incorporated herein by reference.</w:t>
        </w:r>
      </w:hyperlink>
    </w:p>
    <w:p>
      <w:pPr>
        <w:spacing w:after="0" w:line="50" w:lineRule="exact"/>
        <w:rPr>
          <w:sz w:val="20"/>
          <w:szCs w:val="20"/>
          <w:color w:val="auto"/>
        </w:rPr>
      </w:pPr>
    </w:p>
    <w:p>
      <w:pPr>
        <w:jc w:val="right"/>
        <w:ind w:left="20" w:right="339"/>
        <w:spacing w:after="0" w:line="21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(4)(xxii)    </w:t>
      </w:r>
      <w:hyperlink r:id="rId197">
        <w:r>
          <w:rPr>
            <w:rFonts w:ascii="Times New Roman" w:cs="Times New Roman" w:eastAsia="Times New Roman" w:hAnsi="Times New Roman"/>
            <w:sz w:val="18"/>
            <w:szCs w:val="18"/>
            <w:u w:val="single" w:color="auto"/>
            <w:color w:val="0000FF"/>
          </w:rPr>
          <w:t>Junior Subordinated Indenture, dated as of July 27, 2007, between The First Bancshares, Inc. and Wilmington Trust</w:t>
        </w:r>
      </w:hyperlink>
      <w:r>
        <w:rPr>
          <w:rFonts w:ascii="Times New Roman" w:cs="Times New Roman" w:eastAsia="Times New Roman" w:hAnsi="Times New Roman"/>
          <w:sz w:val="18"/>
          <w:szCs w:val="18"/>
          <w:color w:val="auto"/>
        </w:rPr>
        <w:t xml:space="preserve"> </w:t>
      </w:r>
      <w:hyperlink r:id="rId197">
        <w:r>
          <w:rPr>
            <w:rFonts w:ascii="Times New Roman" w:cs="Times New Roman" w:eastAsia="Times New Roman" w:hAnsi="Times New Roman"/>
            <w:sz w:val="18"/>
            <w:szCs w:val="18"/>
            <w:u w:val="single" w:color="auto"/>
            <w:color w:val="0000FF"/>
          </w:rPr>
          <w:t>Company, filed as exhibit 4.10 to the Form 8-K of the Company filed with the Commission on April 4, 2025, and</w:t>
        </w:r>
      </w:hyperlink>
    </w:p>
    <w:p>
      <w:pPr>
        <w:spacing w:after="0" w:line="1" w:lineRule="exact"/>
        <w:rPr>
          <w:sz w:val="20"/>
          <w:szCs w:val="20"/>
          <w:color w:val="auto"/>
        </w:rPr>
      </w:pPr>
    </w:p>
    <w:p>
      <w:pPr>
        <w:ind w:left="960"/>
        <w:spacing w:after="0"/>
        <w:rPr>
          <w:rFonts w:ascii="Times New Roman" w:cs="Times New Roman" w:eastAsia="Times New Roman" w:hAnsi="Times New Roman"/>
          <w:sz w:val="18"/>
          <w:szCs w:val="18"/>
          <w:u w:val="single" w:color="auto"/>
          <w:color w:val="0000FF"/>
        </w:rPr>
      </w:pPr>
      <w:hyperlink r:id="rId197">
        <w:r>
          <w:rPr>
            <w:rFonts w:ascii="Times New Roman" w:cs="Times New Roman" w:eastAsia="Times New Roman" w:hAnsi="Times New Roman"/>
            <w:sz w:val="18"/>
            <w:szCs w:val="18"/>
            <w:u w:val="single" w:color="auto"/>
            <w:color w:val="0000FF"/>
          </w:rPr>
          <w:t>incorporated herein by reference.</w:t>
        </w:r>
      </w:hyperlink>
    </w:p>
    <w:p>
      <w:pPr>
        <w:spacing w:after="0" w:line="49" w:lineRule="exact"/>
        <w:rPr>
          <w:sz w:val="20"/>
          <w:szCs w:val="20"/>
          <w:color w:val="auto"/>
        </w:rPr>
      </w:pPr>
    </w:p>
    <w:p>
      <w:pPr>
        <w:jc w:val="right"/>
        <w:ind w:right="339"/>
        <w:spacing w:after="0" w:line="21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(4)(xxiii)    </w:t>
      </w:r>
      <w:hyperlink r:id="rId198">
        <w:r>
          <w:rPr>
            <w:rFonts w:ascii="Times New Roman" w:cs="Times New Roman" w:eastAsia="Times New Roman" w:hAnsi="Times New Roman"/>
            <w:sz w:val="18"/>
            <w:szCs w:val="18"/>
            <w:u w:val="single" w:color="auto"/>
            <w:color w:val="0000FF"/>
          </w:rPr>
          <w:t>First Supplemental Indenture, dated as of April 1, 2025, among The First Bancshares, Inc. and Wilmington Trust</w:t>
        </w:r>
      </w:hyperlink>
      <w:r>
        <w:rPr>
          <w:rFonts w:ascii="Times New Roman" w:cs="Times New Roman" w:eastAsia="Times New Roman" w:hAnsi="Times New Roman"/>
          <w:sz w:val="18"/>
          <w:szCs w:val="18"/>
          <w:color w:val="auto"/>
        </w:rPr>
        <w:t xml:space="preserve"> </w:t>
      </w:r>
      <w:hyperlink r:id="rId198">
        <w:r>
          <w:rPr>
            <w:rFonts w:ascii="Times New Roman" w:cs="Times New Roman" w:eastAsia="Times New Roman" w:hAnsi="Times New Roman"/>
            <w:sz w:val="18"/>
            <w:szCs w:val="18"/>
            <w:u w:val="single" w:color="auto"/>
            <w:color w:val="0000FF"/>
          </w:rPr>
          <w:t>Company, to Junior Subordinated Indenture, dated as of July 27, 2007, between The First Bancshares, Inc. and Wilmington</w:t>
        </w:r>
      </w:hyperlink>
    </w:p>
    <w:p>
      <w:pPr>
        <w:spacing w:after="0" w:line="1" w:lineRule="exact"/>
        <w:rPr>
          <w:sz w:val="20"/>
          <w:szCs w:val="20"/>
          <w:color w:val="auto"/>
        </w:rPr>
      </w:pPr>
    </w:p>
    <w:p>
      <w:pPr>
        <w:ind w:left="960" w:right="339"/>
        <w:spacing w:after="0" w:line="219" w:lineRule="auto"/>
        <w:rPr>
          <w:rFonts w:ascii="Times New Roman" w:cs="Times New Roman" w:eastAsia="Times New Roman" w:hAnsi="Times New Roman"/>
          <w:sz w:val="18"/>
          <w:szCs w:val="18"/>
          <w:u w:val="single" w:color="auto"/>
          <w:color w:val="0000FF"/>
        </w:rPr>
      </w:pPr>
      <w:hyperlink r:id="rId198">
        <w:r>
          <w:rPr>
            <w:rFonts w:ascii="Times New Roman" w:cs="Times New Roman" w:eastAsia="Times New Roman" w:hAnsi="Times New Roman"/>
            <w:sz w:val="18"/>
            <w:szCs w:val="18"/>
            <w:u w:val="single" w:color="auto"/>
            <w:color w:val="0000FF"/>
          </w:rPr>
          <w:t>Trust Company, filed as exhibit 4.11 to the Form 8-K of the Company filed with the Commission on April 4, 2025, and</w:t>
        </w:r>
      </w:hyperlink>
      <w:r>
        <w:rPr>
          <w:rFonts w:ascii="Times New Roman" w:cs="Times New Roman" w:eastAsia="Times New Roman" w:hAnsi="Times New Roman"/>
          <w:sz w:val="18"/>
          <w:szCs w:val="18"/>
          <w:u w:val="single" w:color="auto"/>
          <w:color w:val="0000FF"/>
        </w:rPr>
        <w:t xml:space="preserve"> </w:t>
      </w:r>
      <w:hyperlink r:id="rId198">
        <w:r>
          <w:rPr>
            <w:rFonts w:ascii="Times New Roman" w:cs="Times New Roman" w:eastAsia="Times New Roman" w:hAnsi="Times New Roman"/>
            <w:sz w:val="18"/>
            <w:szCs w:val="18"/>
            <w:u w:val="single" w:color="auto"/>
            <w:color w:val="0000FF"/>
          </w:rPr>
          <w:t>incorporated herein by reference.</w:t>
        </w:r>
      </w:hyperlink>
    </w:p>
    <w:p>
      <w:pPr>
        <w:spacing w:after="0" w:line="50" w:lineRule="exact"/>
        <w:rPr>
          <w:sz w:val="20"/>
          <w:szCs w:val="20"/>
          <w:color w:val="auto"/>
        </w:rPr>
      </w:pPr>
    </w:p>
    <w:p>
      <w:pPr>
        <w:jc w:val="right"/>
        <w:ind w:right="339"/>
        <w:spacing w:after="0" w:line="21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(4)(xxiv)    </w:t>
      </w:r>
      <w:hyperlink r:id="rId199">
        <w:r>
          <w:rPr>
            <w:rFonts w:ascii="Times New Roman" w:cs="Times New Roman" w:eastAsia="Times New Roman" w:hAnsi="Times New Roman"/>
            <w:sz w:val="18"/>
            <w:szCs w:val="18"/>
            <w:u w:val="single" w:color="auto"/>
            <w:color w:val="0000FF"/>
          </w:rPr>
          <w:t>Indenture, dated as of September 25, 2020, between U.S. Bank National Association and The First Bancshares, Inc., filed</w:t>
        </w:r>
      </w:hyperlink>
      <w:r>
        <w:rPr>
          <w:rFonts w:ascii="Times New Roman" w:cs="Times New Roman" w:eastAsia="Times New Roman" w:hAnsi="Times New Roman"/>
          <w:sz w:val="18"/>
          <w:szCs w:val="18"/>
          <w:color w:val="auto"/>
        </w:rPr>
        <w:t xml:space="preserve"> </w:t>
      </w:r>
      <w:hyperlink r:id="rId199">
        <w:r>
          <w:rPr>
            <w:rFonts w:ascii="Times New Roman" w:cs="Times New Roman" w:eastAsia="Times New Roman" w:hAnsi="Times New Roman"/>
            <w:sz w:val="18"/>
            <w:szCs w:val="18"/>
            <w:u w:val="single" w:color="auto"/>
            <w:color w:val="0000FF"/>
          </w:rPr>
          <w:t>as exhibit 4.12 to the Form 8-K of the Company filed with the Commission on April 4, 2025, and incorporated herein by</w:t>
        </w:r>
      </w:hyperlink>
    </w:p>
    <w:p>
      <w:pPr>
        <w:spacing w:after="0" w:line="1" w:lineRule="exact"/>
        <w:rPr>
          <w:sz w:val="20"/>
          <w:szCs w:val="20"/>
          <w:color w:val="auto"/>
        </w:rPr>
      </w:pPr>
    </w:p>
    <w:p>
      <w:pPr>
        <w:ind w:left="960"/>
        <w:spacing w:after="0"/>
        <w:rPr>
          <w:rFonts w:ascii="Times New Roman" w:cs="Times New Roman" w:eastAsia="Times New Roman" w:hAnsi="Times New Roman"/>
          <w:sz w:val="18"/>
          <w:szCs w:val="18"/>
          <w:u w:val="single" w:color="auto"/>
          <w:color w:val="0000FF"/>
        </w:rPr>
      </w:pPr>
      <w:hyperlink r:id="rId199">
        <w:r>
          <w:rPr>
            <w:rFonts w:ascii="Times New Roman" w:cs="Times New Roman" w:eastAsia="Times New Roman" w:hAnsi="Times New Roman"/>
            <w:sz w:val="18"/>
            <w:szCs w:val="18"/>
            <w:u w:val="single" w:color="auto"/>
            <w:color w:val="0000FF"/>
          </w:rPr>
          <w:t>reference.</w:t>
        </w:r>
      </w:hyperlink>
    </w:p>
    <w:p>
      <w:pPr>
        <w:spacing w:after="0" w:line="49" w:lineRule="exact"/>
        <w:rPr>
          <w:sz w:val="20"/>
          <w:szCs w:val="20"/>
          <w:color w:val="auto"/>
        </w:rPr>
      </w:pPr>
    </w:p>
    <w:p>
      <w:pPr>
        <w:jc w:val="right"/>
        <w:ind w:left="40" w:right="339"/>
        <w:spacing w:after="0" w:line="21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(4)(xxv)    </w:t>
      </w:r>
      <w:hyperlink r:id="rId200">
        <w:r>
          <w:rPr>
            <w:rFonts w:ascii="Times New Roman" w:cs="Times New Roman" w:eastAsia="Times New Roman" w:hAnsi="Times New Roman"/>
            <w:sz w:val="18"/>
            <w:szCs w:val="18"/>
            <w:u w:val="single" w:color="auto"/>
            <w:color w:val="0000FF"/>
          </w:rPr>
          <w:t>First Supplemental Indenture, dated as of April 1, 2025, to Indenture, dated September 25, 2020, between U.S. Bank,</w:t>
        </w:r>
      </w:hyperlink>
      <w:r>
        <w:rPr>
          <w:rFonts w:ascii="Times New Roman" w:cs="Times New Roman" w:eastAsia="Times New Roman" w:hAnsi="Times New Roman"/>
          <w:sz w:val="18"/>
          <w:szCs w:val="18"/>
          <w:color w:val="auto"/>
        </w:rPr>
        <w:t xml:space="preserve"> </w:t>
      </w:r>
      <w:hyperlink r:id="rId200">
        <w:r>
          <w:rPr>
            <w:rFonts w:ascii="Times New Roman" w:cs="Times New Roman" w:eastAsia="Times New Roman" w:hAnsi="Times New Roman"/>
            <w:sz w:val="18"/>
            <w:szCs w:val="18"/>
            <w:u w:val="single" w:color="auto"/>
            <w:color w:val="0000FF"/>
          </w:rPr>
          <w:t>National Association, Renasant Corporation, and The First Bancshares, Inc., filed as exhibit 4.13 to the Form 8-K of the</w:t>
        </w:r>
      </w:hyperlink>
    </w:p>
    <w:p>
      <w:pPr>
        <w:spacing w:after="0" w:line="1" w:lineRule="exact"/>
        <w:rPr>
          <w:sz w:val="20"/>
          <w:szCs w:val="20"/>
          <w:color w:val="auto"/>
        </w:rPr>
      </w:pPr>
    </w:p>
    <w:p>
      <w:pPr>
        <w:ind w:left="960"/>
        <w:spacing w:after="0"/>
        <w:rPr>
          <w:rFonts w:ascii="Times New Roman" w:cs="Times New Roman" w:eastAsia="Times New Roman" w:hAnsi="Times New Roman"/>
          <w:sz w:val="18"/>
          <w:szCs w:val="18"/>
          <w:u w:val="single" w:color="auto"/>
          <w:color w:val="0000FF"/>
        </w:rPr>
      </w:pPr>
      <w:hyperlink r:id="rId200">
        <w:r>
          <w:rPr>
            <w:rFonts w:ascii="Times New Roman" w:cs="Times New Roman" w:eastAsia="Times New Roman" w:hAnsi="Times New Roman"/>
            <w:sz w:val="18"/>
            <w:szCs w:val="18"/>
            <w:u w:val="single" w:color="auto"/>
            <w:color w:val="0000FF"/>
          </w:rPr>
          <w:t>Company filed with the Commission on April 4, 2025, and incorporated herein by reference.</w:t>
        </w:r>
      </w:hyperlink>
    </w:p>
    <w:p>
      <w:pPr>
        <w:spacing w:after="0" w:line="33" w:lineRule="exact"/>
        <w:rPr>
          <w:sz w:val="20"/>
          <w:szCs w:val="20"/>
          <w:color w:val="auto"/>
        </w:rPr>
      </w:pPr>
    </w:p>
    <w:p>
      <w:pPr>
        <w:jc w:val="right"/>
        <w:ind w:right="339"/>
        <w:spacing w:after="0"/>
        <w:tabs>
          <w:tab w:leader="none" w:pos="86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8"/>
          <w:szCs w:val="18"/>
          <w:color w:val="auto"/>
        </w:rPr>
        <w:t>(4)(xxvi)</w:t>
      </w:r>
      <w:r>
        <w:rPr>
          <w:sz w:val="20"/>
          <w:szCs w:val="20"/>
          <w:color w:val="auto"/>
        </w:rPr>
        <w:tab/>
      </w:r>
      <w:hyperlink r:id="rId201">
        <w:r>
          <w:rPr>
            <w:rFonts w:ascii="Times New Roman" w:cs="Times New Roman" w:eastAsia="Times New Roman" w:hAnsi="Times New Roman"/>
            <w:sz w:val="16"/>
            <w:szCs w:val="16"/>
            <w:u w:val="single" w:color="auto"/>
            <w:color w:val="0000FF"/>
          </w:rPr>
          <w:t>Form of Global Subordinated Note for The First Bancshares, Inc. 4.25% Fixed-to-Floating Rate Subordinated Notes Due</w:t>
        </w:r>
      </w:hyperlink>
    </w:p>
    <w:p>
      <w:pPr>
        <w:jc w:val="right"/>
        <w:ind w:right="339"/>
        <w:spacing w:after="0" w:line="213" w:lineRule="auto"/>
        <w:rPr>
          <w:rFonts w:ascii="Times New Roman" w:cs="Times New Roman" w:eastAsia="Times New Roman" w:hAnsi="Times New Roman"/>
          <w:sz w:val="18"/>
          <w:szCs w:val="18"/>
          <w:u w:val="single" w:color="auto"/>
          <w:color w:val="0000FF"/>
        </w:rPr>
      </w:pPr>
      <w:hyperlink r:id="rId201">
        <w:r>
          <w:rPr>
            <w:rFonts w:ascii="Times New Roman" w:cs="Times New Roman" w:eastAsia="Times New Roman" w:hAnsi="Times New Roman"/>
            <w:sz w:val="18"/>
            <w:szCs w:val="18"/>
            <w:u w:val="single" w:color="auto"/>
            <w:color w:val="0000FF"/>
          </w:rPr>
          <w:t>2030, filed as exhibit 4.14 to the Form 8-K of the Company filed with the Commission on April 4, 2025, and incorporated</w:t>
        </w:r>
      </w:hyperlink>
    </w:p>
    <w:p>
      <w:pPr>
        <w:spacing w:after="0" w:line="1" w:lineRule="exact"/>
        <w:rPr>
          <w:sz w:val="20"/>
          <w:szCs w:val="20"/>
          <w:color w:val="auto"/>
        </w:rPr>
      </w:pPr>
    </w:p>
    <w:p>
      <w:pPr>
        <w:ind w:left="960"/>
        <w:spacing w:after="0"/>
        <w:rPr>
          <w:rFonts w:ascii="Times New Roman" w:cs="Times New Roman" w:eastAsia="Times New Roman" w:hAnsi="Times New Roman"/>
          <w:sz w:val="18"/>
          <w:szCs w:val="18"/>
          <w:u w:val="single" w:color="auto"/>
          <w:color w:val="0000FF"/>
        </w:rPr>
      </w:pPr>
      <w:hyperlink r:id="rId201">
        <w:r>
          <w:rPr>
            <w:rFonts w:ascii="Times New Roman" w:cs="Times New Roman" w:eastAsia="Times New Roman" w:hAnsi="Times New Roman"/>
            <w:sz w:val="18"/>
            <w:szCs w:val="18"/>
            <w:u w:val="single" w:color="auto"/>
            <w:color w:val="0000FF"/>
          </w:rPr>
          <w:t>herein by reference.</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67945</wp:posOffset>
            </wp:positionV>
            <wp:extent cx="7160895"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9939"/>
          </w:cols>
          <w:pgMar w:left="520" w:top="911" w:right="1440" w:bottom="1440" w:gutter="0" w:footer="0" w:header="0"/>
        </w:sectPr>
      </w:pPr>
    </w:p>
    <w:bookmarkStart w:id="154" w:name="page155"/>
    <w:bookmarkEnd w:id="154"/>
    <w:p>
      <w:pPr>
        <w:jc w:val="right"/>
        <w:ind w:left="20" w:right="339"/>
        <w:spacing w:after="0" w:line="21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(4)(xxvii)   </w:t>
      </w:r>
      <w:hyperlink r:id="rId203">
        <w:r>
          <w:rPr>
            <w:rFonts w:ascii="Times New Roman" w:cs="Times New Roman" w:eastAsia="Times New Roman" w:hAnsi="Times New Roman"/>
            <w:sz w:val="18"/>
            <w:szCs w:val="18"/>
            <w:u w:val="single" w:color="auto"/>
            <w:color w:val="0000FF"/>
          </w:rPr>
          <w:t>Subordinated Note Purchase Agreement, dated as of April 30, 2018, between The First Bancshares, Inc. and the Purchasers</w:t>
        </w:r>
      </w:hyperlink>
      <w:r>
        <w:rPr>
          <w:rFonts w:ascii="Times New Roman" w:cs="Times New Roman" w:eastAsia="Times New Roman" w:hAnsi="Times New Roman"/>
          <w:sz w:val="18"/>
          <w:szCs w:val="18"/>
          <w:color w:val="auto"/>
        </w:rPr>
        <w:t xml:space="preserve"> </w:t>
      </w:r>
      <w:hyperlink r:id="rId203">
        <w:r>
          <w:rPr>
            <w:rFonts w:ascii="Times New Roman" w:cs="Times New Roman" w:eastAsia="Times New Roman" w:hAnsi="Times New Roman"/>
            <w:sz w:val="18"/>
            <w:szCs w:val="18"/>
            <w:u w:val="single" w:color="auto"/>
            <w:color w:val="0000FF"/>
          </w:rPr>
          <w:t>identified therein, filed as exhibit 4.15 to the Form 8-K of the Company filed with the Commission on April 4, 2025, and</w:t>
        </w:r>
      </w:hyperlink>
    </w:p>
    <w:p>
      <w:pPr>
        <w:spacing w:after="0" w:line="1" w:lineRule="exact"/>
        <w:rPr>
          <w:sz w:val="20"/>
          <w:szCs w:val="20"/>
          <w:color w:val="auto"/>
        </w:rPr>
      </w:pPr>
    </w:p>
    <w:p>
      <w:pPr>
        <w:ind w:left="1000"/>
        <w:spacing w:after="0"/>
        <w:rPr>
          <w:rFonts w:ascii="Times New Roman" w:cs="Times New Roman" w:eastAsia="Times New Roman" w:hAnsi="Times New Roman"/>
          <w:sz w:val="18"/>
          <w:szCs w:val="18"/>
          <w:u w:val="single" w:color="auto"/>
          <w:color w:val="0000FF"/>
        </w:rPr>
      </w:pPr>
      <w:hyperlink r:id="rId203">
        <w:r>
          <w:rPr>
            <w:rFonts w:ascii="Times New Roman" w:cs="Times New Roman" w:eastAsia="Times New Roman" w:hAnsi="Times New Roman"/>
            <w:sz w:val="18"/>
            <w:szCs w:val="18"/>
            <w:u w:val="single" w:color="auto"/>
            <w:color w:val="0000FF"/>
          </w:rPr>
          <w:t>incorporated herein by reference.</w:t>
        </w:r>
      </w:hyperlink>
    </w:p>
    <w:p>
      <w:pPr>
        <w:spacing w:after="0" w:line="49" w:lineRule="exact"/>
        <w:rPr>
          <w:sz w:val="20"/>
          <w:szCs w:val="20"/>
          <w:color w:val="auto"/>
        </w:rPr>
      </w:pPr>
    </w:p>
    <w:p>
      <w:pPr>
        <w:jc w:val="right"/>
        <w:ind w:right="339"/>
        <w:spacing w:after="0" w:line="21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(4)(xxviii)   </w:t>
      </w:r>
      <w:hyperlink r:id="rId203">
        <w:r>
          <w:rPr>
            <w:rFonts w:ascii="Times New Roman" w:cs="Times New Roman" w:eastAsia="Times New Roman" w:hAnsi="Times New Roman"/>
            <w:sz w:val="18"/>
            <w:szCs w:val="18"/>
            <w:u w:val="single" w:color="auto"/>
            <w:color w:val="0000FF"/>
          </w:rPr>
          <w:t>Form of Subordinated Note for The First Bancshares, Inc. 6.40% Fixed-to-Floating Rate Subordinated Notes Due 2033</w:t>
        </w:r>
      </w:hyperlink>
      <w:r>
        <w:rPr>
          <w:rFonts w:ascii="Times New Roman" w:cs="Times New Roman" w:eastAsia="Times New Roman" w:hAnsi="Times New Roman"/>
          <w:sz w:val="18"/>
          <w:szCs w:val="18"/>
          <w:color w:val="auto"/>
        </w:rPr>
        <w:t xml:space="preserve"> </w:t>
      </w:r>
      <w:hyperlink r:id="rId203">
        <w:r>
          <w:rPr>
            <w:rFonts w:ascii="Times New Roman" w:cs="Times New Roman" w:eastAsia="Times New Roman" w:hAnsi="Times New Roman"/>
            <w:sz w:val="18"/>
            <w:szCs w:val="18"/>
            <w:u w:val="single" w:color="auto"/>
            <w:color w:val="0000FF"/>
          </w:rPr>
          <w:t>(incorporated by reference from Exhibit 4.15 to the Current Report on Form 8-K, filed as exhibit 4.16 to the Form 8-K of</w:t>
        </w:r>
      </w:hyperlink>
    </w:p>
    <w:p>
      <w:pPr>
        <w:spacing w:after="0" w:line="1" w:lineRule="exact"/>
        <w:rPr>
          <w:sz w:val="20"/>
          <w:szCs w:val="20"/>
          <w:color w:val="auto"/>
        </w:rPr>
      </w:pPr>
    </w:p>
    <w:p>
      <w:pPr>
        <w:ind w:left="1000"/>
        <w:spacing w:after="0"/>
        <w:rPr>
          <w:rFonts w:ascii="Times New Roman" w:cs="Times New Roman" w:eastAsia="Times New Roman" w:hAnsi="Times New Roman"/>
          <w:sz w:val="18"/>
          <w:szCs w:val="18"/>
          <w:u w:val="single" w:color="auto"/>
          <w:color w:val="0000FF"/>
        </w:rPr>
      </w:pPr>
      <w:hyperlink r:id="rId203">
        <w:r>
          <w:rPr>
            <w:rFonts w:ascii="Times New Roman" w:cs="Times New Roman" w:eastAsia="Times New Roman" w:hAnsi="Times New Roman"/>
            <w:sz w:val="18"/>
            <w:szCs w:val="18"/>
            <w:u w:val="single" w:color="auto"/>
            <w:color w:val="0000FF"/>
          </w:rPr>
          <w:t>the Company filed with the Commission on April 4, 2025, and incorporated herein by reference.</w:t>
        </w:r>
      </w:hyperlink>
    </w:p>
    <w:p>
      <w:pPr>
        <w:spacing w:after="0" w:line="49" w:lineRule="exact"/>
        <w:rPr>
          <w:sz w:val="20"/>
          <w:szCs w:val="20"/>
          <w:color w:val="auto"/>
        </w:rPr>
      </w:pPr>
    </w:p>
    <w:p>
      <w:pPr>
        <w:jc w:val="right"/>
        <w:ind w:left="40" w:right="339"/>
        <w:spacing w:after="0" w:line="21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(4)(xxix)    </w:t>
      </w:r>
      <w:hyperlink r:id="rId204">
        <w:r>
          <w:rPr>
            <w:rFonts w:ascii="Times New Roman" w:cs="Times New Roman" w:eastAsia="Times New Roman" w:hAnsi="Times New Roman"/>
            <w:sz w:val="18"/>
            <w:szCs w:val="18"/>
            <w:u w:val="single" w:color="auto"/>
            <w:color w:val="0000FF"/>
          </w:rPr>
          <w:t>Description of Renasant Corporation’s Securities Registered under Section 12 of the Securities Exchange Act of 1934, as</w:t>
        </w:r>
      </w:hyperlink>
      <w:r>
        <w:rPr>
          <w:rFonts w:ascii="Times New Roman" w:cs="Times New Roman" w:eastAsia="Times New Roman" w:hAnsi="Times New Roman"/>
          <w:sz w:val="18"/>
          <w:szCs w:val="18"/>
          <w:color w:val="auto"/>
        </w:rPr>
        <w:t xml:space="preserve"> </w:t>
      </w:r>
      <w:hyperlink r:id="rId204">
        <w:r>
          <w:rPr>
            <w:rFonts w:ascii="Times New Roman" w:cs="Times New Roman" w:eastAsia="Times New Roman" w:hAnsi="Times New Roman"/>
            <w:sz w:val="18"/>
            <w:szCs w:val="18"/>
            <w:u w:val="single" w:color="auto"/>
            <w:color w:val="0000FF"/>
          </w:rPr>
          <w:t>amended, filed as exhibit 4(i) to the Quarterly Report on Form 10-Q of the Company filed with the Commission on August</w:t>
        </w:r>
      </w:hyperlink>
    </w:p>
    <w:p>
      <w:pPr>
        <w:spacing w:after="0" w:line="1" w:lineRule="exact"/>
        <w:rPr>
          <w:sz w:val="20"/>
          <w:szCs w:val="20"/>
          <w:color w:val="auto"/>
        </w:rPr>
      </w:pPr>
    </w:p>
    <w:p>
      <w:pPr>
        <w:ind w:left="1000"/>
        <w:spacing w:after="0"/>
        <w:rPr>
          <w:rFonts w:ascii="Times New Roman" w:cs="Times New Roman" w:eastAsia="Times New Roman" w:hAnsi="Times New Roman"/>
          <w:sz w:val="18"/>
          <w:szCs w:val="18"/>
          <w:u w:val="single" w:color="auto"/>
          <w:color w:val="0000FF"/>
        </w:rPr>
      </w:pPr>
      <w:hyperlink r:id="rId204">
        <w:r>
          <w:rPr>
            <w:rFonts w:ascii="Times New Roman" w:cs="Times New Roman" w:eastAsia="Times New Roman" w:hAnsi="Times New Roman"/>
            <w:sz w:val="18"/>
            <w:szCs w:val="18"/>
            <w:u w:val="single" w:color="auto"/>
            <w:color w:val="0000FF"/>
          </w:rPr>
          <w:t>7, 2024 and incorporated herein by reference.</w:t>
        </w:r>
      </w:hyperlink>
    </w:p>
    <w:p>
      <w:pPr>
        <w:spacing w:after="0" w:line="49" w:lineRule="exact"/>
        <w:rPr>
          <w:sz w:val="20"/>
          <w:szCs w:val="20"/>
          <w:color w:val="auto"/>
        </w:rPr>
      </w:pPr>
    </w:p>
    <w:p>
      <w:pPr>
        <w:jc w:val="right"/>
        <w:ind w:left="140" w:right="339"/>
        <w:spacing w:after="0" w:line="231"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(10)(i)     </w:t>
      </w:r>
      <w:hyperlink r:id="rId205">
        <w:r>
          <w:rPr>
            <w:rFonts w:ascii="Times New Roman" w:cs="Times New Roman" w:eastAsia="Times New Roman" w:hAnsi="Times New Roman"/>
            <w:sz w:val="18"/>
            <w:szCs w:val="18"/>
            <w:u w:val="single" w:color="auto"/>
            <w:color w:val="0000FF"/>
          </w:rPr>
          <w:t>Renasant Corporation Deferred Stock Unit Plan, filed as exhibit 4.3 to the Form S-8 Registration Statement of the</w:t>
        </w:r>
      </w:hyperlink>
      <w:r>
        <w:rPr>
          <w:rFonts w:ascii="Times New Roman" w:cs="Times New Roman" w:eastAsia="Times New Roman" w:hAnsi="Times New Roman"/>
          <w:sz w:val="18"/>
          <w:szCs w:val="18"/>
          <w:color w:val="auto"/>
        </w:rPr>
        <w:t xml:space="preserve"> </w:t>
      </w:r>
      <w:hyperlink r:id="rId205">
        <w:r>
          <w:rPr>
            <w:rFonts w:ascii="Times New Roman" w:cs="Times New Roman" w:eastAsia="Times New Roman" w:hAnsi="Times New Roman"/>
            <w:sz w:val="18"/>
            <w:szCs w:val="18"/>
            <w:u w:val="single" w:color="auto"/>
            <w:color w:val="0000FF"/>
          </w:rPr>
          <w:t>Company (File No. 333-102152) filed with the Commission on December 23, 2002 and incorporated herein by reference.*</w:t>
        </w:r>
      </w:hyperlink>
    </w:p>
    <w:p>
      <w:pPr>
        <w:spacing w:after="0" w:line="62" w:lineRule="exact"/>
        <w:rPr>
          <w:sz w:val="20"/>
          <w:szCs w:val="20"/>
          <w:color w:val="auto"/>
        </w:rPr>
      </w:pPr>
    </w:p>
    <w:p>
      <w:pPr>
        <w:jc w:val="right"/>
        <w:ind w:left="120" w:right="339"/>
        <w:spacing w:after="0" w:line="21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(10)(ii)    </w:t>
      </w:r>
      <w:hyperlink r:id="rId206">
        <w:r>
          <w:rPr>
            <w:rFonts w:ascii="Times New Roman" w:cs="Times New Roman" w:eastAsia="Times New Roman" w:hAnsi="Times New Roman"/>
            <w:sz w:val="18"/>
            <w:szCs w:val="18"/>
            <w:u w:val="single" w:color="auto"/>
            <w:color w:val="0000FF"/>
          </w:rPr>
          <w:t>Amendment to the Renasant Corporation Deferred Stock Unit Plan dated December 4, 2002, filed as exhibit 4.4 to the</w:t>
        </w:r>
      </w:hyperlink>
      <w:r>
        <w:rPr>
          <w:rFonts w:ascii="Times New Roman" w:cs="Times New Roman" w:eastAsia="Times New Roman" w:hAnsi="Times New Roman"/>
          <w:sz w:val="18"/>
          <w:szCs w:val="18"/>
          <w:color w:val="auto"/>
        </w:rPr>
        <w:t xml:space="preserve"> </w:t>
      </w:r>
      <w:hyperlink r:id="rId206">
        <w:r>
          <w:rPr>
            <w:rFonts w:ascii="Times New Roman" w:cs="Times New Roman" w:eastAsia="Times New Roman" w:hAnsi="Times New Roman"/>
            <w:sz w:val="18"/>
            <w:szCs w:val="18"/>
            <w:u w:val="single" w:color="auto"/>
            <w:color w:val="0000FF"/>
          </w:rPr>
          <w:t>Form S-8 Registration Statement of the Company (File No. 333-102152) filed with the Commission on December 23,</w:t>
        </w:r>
      </w:hyperlink>
    </w:p>
    <w:p>
      <w:pPr>
        <w:spacing w:after="0" w:line="1" w:lineRule="exact"/>
        <w:rPr>
          <w:sz w:val="20"/>
          <w:szCs w:val="20"/>
          <w:color w:val="auto"/>
        </w:rPr>
      </w:pPr>
    </w:p>
    <w:p>
      <w:pPr>
        <w:ind w:left="1000"/>
        <w:spacing w:after="0"/>
        <w:rPr>
          <w:rFonts w:ascii="Times New Roman" w:cs="Times New Roman" w:eastAsia="Times New Roman" w:hAnsi="Times New Roman"/>
          <w:sz w:val="18"/>
          <w:szCs w:val="18"/>
          <w:u w:val="single" w:color="auto"/>
          <w:color w:val="0000FF"/>
        </w:rPr>
      </w:pPr>
      <w:hyperlink r:id="rId206">
        <w:r>
          <w:rPr>
            <w:rFonts w:ascii="Times New Roman" w:cs="Times New Roman" w:eastAsia="Times New Roman" w:hAnsi="Times New Roman"/>
            <w:sz w:val="18"/>
            <w:szCs w:val="18"/>
            <w:u w:val="single" w:color="auto"/>
            <w:color w:val="0000FF"/>
          </w:rPr>
          <w:t>2002 and incorporated herein by reference.*</w:t>
        </w:r>
      </w:hyperlink>
    </w:p>
    <w:p>
      <w:pPr>
        <w:spacing w:after="0" w:line="49" w:lineRule="exact"/>
        <w:rPr>
          <w:sz w:val="20"/>
          <w:szCs w:val="20"/>
          <w:color w:val="auto"/>
        </w:rPr>
      </w:pPr>
    </w:p>
    <w:p>
      <w:pPr>
        <w:ind w:left="1000" w:right="339" w:hanging="906"/>
        <w:spacing w:after="0" w:line="231"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(10)(iii)</w:t>
      </w:r>
      <w:r>
        <w:rPr>
          <w:sz w:val="20"/>
          <w:szCs w:val="20"/>
          <w:color w:val="auto"/>
        </w:rPr>
        <w:tab/>
      </w:r>
      <w:hyperlink r:id="rId207">
        <w:r>
          <w:rPr>
            <w:rFonts w:ascii="Times New Roman" w:cs="Times New Roman" w:eastAsia="Times New Roman" w:hAnsi="Times New Roman"/>
            <w:sz w:val="18"/>
            <w:szCs w:val="18"/>
            <w:u w:val="single" w:color="auto"/>
            <w:color w:val="0000FF"/>
          </w:rPr>
          <w:t>Amended and Restated Renasant Corporation Deferred Stock Unit Plan, filed as exhibit 99.2 to the Form 8-K of the</w:t>
        </w:r>
      </w:hyperlink>
      <w:r>
        <w:rPr>
          <w:rFonts w:ascii="Times New Roman" w:cs="Times New Roman" w:eastAsia="Times New Roman" w:hAnsi="Times New Roman"/>
          <w:sz w:val="18"/>
          <w:szCs w:val="18"/>
          <w:u w:val="single" w:color="auto"/>
          <w:color w:val="0000FF"/>
        </w:rPr>
        <w:t xml:space="preserve"> </w:t>
      </w:r>
      <w:hyperlink r:id="rId207">
        <w:r>
          <w:rPr>
            <w:rFonts w:ascii="Times New Roman" w:cs="Times New Roman" w:eastAsia="Times New Roman" w:hAnsi="Times New Roman"/>
            <w:sz w:val="18"/>
            <w:szCs w:val="18"/>
            <w:u w:val="single" w:color="auto"/>
            <w:color w:val="0000FF"/>
          </w:rPr>
          <w:t>Company filed with the Commission on July 19, 2006 and incorporated herein by reference.*</w:t>
        </w:r>
      </w:hyperlink>
    </w:p>
    <w:p>
      <w:pPr>
        <w:spacing w:after="0" w:line="62" w:lineRule="exact"/>
        <w:rPr>
          <w:sz w:val="20"/>
          <w:szCs w:val="20"/>
          <w:color w:val="auto"/>
        </w:rPr>
      </w:pPr>
    </w:p>
    <w:p>
      <w:pPr>
        <w:jc w:val="right"/>
        <w:ind w:left="100" w:right="339"/>
        <w:spacing w:after="0" w:line="21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(10)(iv)    </w:t>
      </w:r>
      <w:hyperlink r:id="rId208">
        <w:r>
          <w:rPr>
            <w:rFonts w:ascii="Times New Roman" w:cs="Times New Roman" w:eastAsia="Times New Roman" w:hAnsi="Times New Roman"/>
            <w:sz w:val="18"/>
            <w:szCs w:val="18"/>
            <w:u w:val="single" w:color="auto"/>
            <w:color w:val="0000FF"/>
          </w:rPr>
          <w:t>Amendment to the Amended and Restated Renasant Corporation Deferred Stock Unit Plan dated June 5, 2007, filed as</w:t>
        </w:r>
      </w:hyperlink>
      <w:r>
        <w:rPr>
          <w:rFonts w:ascii="Times New Roman" w:cs="Times New Roman" w:eastAsia="Times New Roman" w:hAnsi="Times New Roman"/>
          <w:sz w:val="18"/>
          <w:szCs w:val="18"/>
          <w:color w:val="auto"/>
        </w:rPr>
        <w:t xml:space="preserve"> </w:t>
      </w:r>
      <w:hyperlink r:id="rId208">
        <w:r>
          <w:rPr>
            <w:rFonts w:ascii="Times New Roman" w:cs="Times New Roman" w:eastAsia="Times New Roman" w:hAnsi="Times New Roman"/>
            <w:sz w:val="18"/>
            <w:szCs w:val="18"/>
            <w:u w:val="single" w:color="auto"/>
            <w:color w:val="0000FF"/>
          </w:rPr>
          <w:t>exhibit 99.1 to the Form S-8 Registration Statement of the Company (File No. 333-144185) filed with the Commission on</w:t>
        </w:r>
      </w:hyperlink>
    </w:p>
    <w:p>
      <w:pPr>
        <w:spacing w:after="0" w:line="1" w:lineRule="exact"/>
        <w:rPr>
          <w:sz w:val="20"/>
          <w:szCs w:val="20"/>
          <w:color w:val="auto"/>
        </w:rPr>
      </w:pPr>
    </w:p>
    <w:p>
      <w:pPr>
        <w:ind w:left="1000"/>
        <w:spacing w:after="0"/>
        <w:rPr>
          <w:rFonts w:ascii="Times New Roman" w:cs="Times New Roman" w:eastAsia="Times New Roman" w:hAnsi="Times New Roman"/>
          <w:sz w:val="18"/>
          <w:szCs w:val="18"/>
          <w:u w:val="single" w:color="auto"/>
          <w:color w:val="0000FF"/>
        </w:rPr>
      </w:pPr>
      <w:hyperlink r:id="rId208">
        <w:r>
          <w:rPr>
            <w:rFonts w:ascii="Times New Roman" w:cs="Times New Roman" w:eastAsia="Times New Roman" w:hAnsi="Times New Roman"/>
            <w:sz w:val="18"/>
            <w:szCs w:val="18"/>
            <w:u w:val="single" w:color="auto"/>
            <w:color w:val="0000FF"/>
          </w:rPr>
          <w:t>June 29, 2007 and incorporated herein by reference.*</w:t>
        </w:r>
      </w:hyperlink>
    </w:p>
    <w:p>
      <w:pPr>
        <w:spacing w:after="0" w:line="49" w:lineRule="exact"/>
        <w:rPr>
          <w:sz w:val="20"/>
          <w:szCs w:val="20"/>
          <w:color w:val="auto"/>
        </w:rPr>
      </w:pPr>
    </w:p>
    <w:p>
      <w:pPr>
        <w:jc w:val="right"/>
        <w:ind w:left="120" w:right="339"/>
        <w:spacing w:after="0" w:line="21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(10)(v)    </w:t>
      </w:r>
      <w:hyperlink r:id="rId209">
        <w:r>
          <w:rPr>
            <w:rFonts w:ascii="Times New Roman" w:cs="Times New Roman" w:eastAsia="Times New Roman" w:hAnsi="Times New Roman"/>
            <w:sz w:val="18"/>
            <w:szCs w:val="18"/>
            <w:u w:val="single" w:color="auto"/>
            <w:color w:val="0000FF"/>
          </w:rPr>
          <w:t>Amendment to the Amended and Restated Renasant Corporation Deferred Stock Unit Plan dated December 16, 2008, filed</w:t>
        </w:r>
      </w:hyperlink>
      <w:r>
        <w:rPr>
          <w:rFonts w:ascii="Times New Roman" w:cs="Times New Roman" w:eastAsia="Times New Roman" w:hAnsi="Times New Roman"/>
          <w:sz w:val="18"/>
          <w:szCs w:val="18"/>
          <w:color w:val="auto"/>
        </w:rPr>
        <w:t xml:space="preserve"> </w:t>
      </w:r>
      <w:hyperlink r:id="rId209">
        <w:r>
          <w:rPr>
            <w:rFonts w:ascii="Times New Roman" w:cs="Times New Roman" w:eastAsia="Times New Roman" w:hAnsi="Times New Roman"/>
            <w:sz w:val="18"/>
            <w:szCs w:val="18"/>
            <w:u w:val="single" w:color="auto"/>
            <w:color w:val="0000FF"/>
          </w:rPr>
          <w:t>as exhibit 10.2 to the Form 8-K of the Company filed with the Commission on February 17, 2009 and incorporated herein</w:t>
        </w:r>
      </w:hyperlink>
    </w:p>
    <w:p>
      <w:pPr>
        <w:spacing w:after="0" w:line="1" w:lineRule="exact"/>
        <w:rPr>
          <w:sz w:val="20"/>
          <w:szCs w:val="20"/>
          <w:color w:val="auto"/>
        </w:rPr>
      </w:pPr>
    </w:p>
    <w:p>
      <w:pPr>
        <w:ind w:left="1000"/>
        <w:spacing w:after="0"/>
        <w:rPr>
          <w:rFonts w:ascii="Times New Roman" w:cs="Times New Roman" w:eastAsia="Times New Roman" w:hAnsi="Times New Roman"/>
          <w:sz w:val="18"/>
          <w:szCs w:val="18"/>
          <w:u w:val="single" w:color="auto"/>
          <w:color w:val="0000FF"/>
        </w:rPr>
      </w:pPr>
      <w:hyperlink r:id="rId209">
        <w:r>
          <w:rPr>
            <w:rFonts w:ascii="Times New Roman" w:cs="Times New Roman" w:eastAsia="Times New Roman" w:hAnsi="Times New Roman"/>
            <w:sz w:val="18"/>
            <w:szCs w:val="18"/>
            <w:u w:val="single" w:color="auto"/>
            <w:color w:val="0000FF"/>
          </w:rPr>
          <w:t>by reference.*</w:t>
        </w:r>
      </w:hyperlink>
    </w:p>
    <w:p>
      <w:pPr>
        <w:spacing w:after="0" w:line="49" w:lineRule="exact"/>
        <w:rPr>
          <w:sz w:val="20"/>
          <w:szCs w:val="20"/>
          <w:color w:val="auto"/>
        </w:rPr>
      </w:pPr>
    </w:p>
    <w:p>
      <w:pPr>
        <w:jc w:val="right"/>
        <w:ind w:left="100" w:right="339"/>
        <w:spacing w:after="0" w:line="21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(10)(vi)    </w:t>
      </w:r>
      <w:hyperlink r:id="rId210">
        <w:r>
          <w:rPr>
            <w:rFonts w:ascii="Times New Roman" w:cs="Times New Roman" w:eastAsia="Times New Roman" w:hAnsi="Times New Roman"/>
            <w:sz w:val="18"/>
            <w:szCs w:val="18"/>
            <w:u w:val="single" w:color="auto"/>
            <w:color w:val="0000FF"/>
          </w:rPr>
          <w:t>Amendment to the Amended and Restated Renasant Corporation Deferred Stock Unit Plan dated January 17, 2012, filed as</w:t>
        </w:r>
      </w:hyperlink>
      <w:r>
        <w:rPr>
          <w:rFonts w:ascii="Times New Roman" w:cs="Times New Roman" w:eastAsia="Times New Roman" w:hAnsi="Times New Roman"/>
          <w:sz w:val="18"/>
          <w:szCs w:val="18"/>
          <w:color w:val="auto"/>
        </w:rPr>
        <w:t xml:space="preserve"> </w:t>
      </w:r>
      <w:hyperlink r:id="rId210">
        <w:r>
          <w:rPr>
            <w:rFonts w:ascii="Times New Roman" w:cs="Times New Roman" w:eastAsia="Times New Roman" w:hAnsi="Times New Roman"/>
            <w:sz w:val="18"/>
            <w:szCs w:val="18"/>
            <w:u w:val="single" w:color="auto"/>
            <w:color w:val="0000FF"/>
          </w:rPr>
          <w:t>exhibit 99.1 to the Form 8-K of the Company filed with the Commission on January 23, 2012 and incorporated herein by</w:t>
        </w:r>
      </w:hyperlink>
    </w:p>
    <w:p>
      <w:pPr>
        <w:spacing w:after="0" w:line="1" w:lineRule="exact"/>
        <w:rPr>
          <w:sz w:val="20"/>
          <w:szCs w:val="20"/>
          <w:color w:val="auto"/>
        </w:rPr>
      </w:pPr>
    </w:p>
    <w:p>
      <w:pPr>
        <w:ind w:left="1000"/>
        <w:spacing w:after="0"/>
        <w:rPr>
          <w:rFonts w:ascii="Times New Roman" w:cs="Times New Roman" w:eastAsia="Times New Roman" w:hAnsi="Times New Roman"/>
          <w:sz w:val="18"/>
          <w:szCs w:val="18"/>
          <w:u w:val="single" w:color="auto"/>
          <w:color w:val="0000FF"/>
        </w:rPr>
      </w:pPr>
      <w:hyperlink r:id="rId210">
        <w:r>
          <w:rPr>
            <w:rFonts w:ascii="Times New Roman" w:cs="Times New Roman" w:eastAsia="Times New Roman" w:hAnsi="Times New Roman"/>
            <w:sz w:val="18"/>
            <w:szCs w:val="18"/>
            <w:u w:val="single" w:color="auto"/>
            <w:color w:val="0000FF"/>
          </w:rPr>
          <w:t>reference.*</w:t>
        </w:r>
      </w:hyperlink>
    </w:p>
    <w:p>
      <w:pPr>
        <w:spacing w:after="0" w:line="49" w:lineRule="exact"/>
        <w:rPr>
          <w:sz w:val="20"/>
          <w:szCs w:val="20"/>
          <w:color w:val="auto"/>
        </w:rPr>
      </w:pPr>
    </w:p>
    <w:p>
      <w:pPr>
        <w:ind w:left="1000" w:right="339" w:hanging="925"/>
        <w:spacing w:after="0" w:line="231"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(10)(vii)</w:t>
      </w:r>
      <w:r>
        <w:rPr>
          <w:sz w:val="20"/>
          <w:szCs w:val="20"/>
          <w:color w:val="auto"/>
        </w:rPr>
        <w:tab/>
      </w:r>
      <w:hyperlink r:id="rId211">
        <w:r>
          <w:rPr>
            <w:rFonts w:ascii="Times New Roman" w:cs="Times New Roman" w:eastAsia="Times New Roman" w:hAnsi="Times New Roman"/>
            <w:sz w:val="18"/>
            <w:szCs w:val="18"/>
            <w:u w:val="single" w:color="auto"/>
            <w:color w:val="0000FF"/>
          </w:rPr>
          <w:t>Amendment No. 5 to the Renasant Corporation Deferred Stock Unit Plan, filed as exhibit 10.1 to the Form 8-K of the</w:t>
        </w:r>
      </w:hyperlink>
      <w:r>
        <w:rPr>
          <w:rFonts w:ascii="Times New Roman" w:cs="Times New Roman" w:eastAsia="Times New Roman" w:hAnsi="Times New Roman"/>
          <w:sz w:val="18"/>
          <w:szCs w:val="18"/>
          <w:u w:val="single" w:color="auto"/>
          <w:color w:val="0000FF"/>
        </w:rPr>
        <w:t xml:space="preserve"> </w:t>
      </w:r>
      <w:hyperlink r:id="rId211">
        <w:r>
          <w:rPr>
            <w:rFonts w:ascii="Times New Roman" w:cs="Times New Roman" w:eastAsia="Times New Roman" w:hAnsi="Times New Roman"/>
            <w:sz w:val="18"/>
            <w:szCs w:val="18"/>
            <w:u w:val="single" w:color="auto"/>
            <w:color w:val="0000FF"/>
          </w:rPr>
          <w:t>Company filed with the Commission on December 18, 2020 and incorporated herein by reference.*</w:t>
        </w:r>
      </w:hyperlink>
    </w:p>
    <w:p>
      <w:pPr>
        <w:spacing w:after="0" w:line="62" w:lineRule="exact"/>
        <w:rPr>
          <w:sz w:val="20"/>
          <w:szCs w:val="20"/>
          <w:color w:val="auto"/>
        </w:rPr>
      </w:pPr>
    </w:p>
    <w:p>
      <w:pPr>
        <w:jc w:val="right"/>
        <w:ind w:left="40" w:right="339"/>
        <w:spacing w:after="0" w:line="21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(10)(viii)    </w:t>
      </w:r>
      <w:hyperlink r:id="rId212">
        <w:r>
          <w:rPr>
            <w:rFonts w:ascii="Times New Roman" w:cs="Times New Roman" w:eastAsia="Times New Roman" w:hAnsi="Times New Roman"/>
            <w:sz w:val="18"/>
            <w:szCs w:val="18"/>
            <w:u w:val="single" w:color="auto"/>
            <w:color w:val="0000FF"/>
          </w:rPr>
          <w:t>Amended and Restated Renasant Corporation Performance Based Rewards Plan, dated as of April 23, 2024, filed as</w:t>
        </w:r>
      </w:hyperlink>
      <w:r>
        <w:rPr>
          <w:rFonts w:ascii="Times New Roman" w:cs="Times New Roman" w:eastAsia="Times New Roman" w:hAnsi="Times New Roman"/>
          <w:sz w:val="18"/>
          <w:szCs w:val="18"/>
          <w:color w:val="auto"/>
        </w:rPr>
        <w:t xml:space="preserve"> </w:t>
      </w:r>
      <w:hyperlink r:id="rId212">
        <w:r>
          <w:rPr>
            <w:rFonts w:ascii="Times New Roman" w:cs="Times New Roman" w:eastAsia="Times New Roman" w:hAnsi="Times New Roman"/>
            <w:sz w:val="18"/>
            <w:szCs w:val="18"/>
            <w:u w:val="single" w:color="auto"/>
            <w:color w:val="0000FF"/>
          </w:rPr>
          <w:t>exhibit 10(i) to the Form 10-Q of the Company filed with the Commission on May 8, 2024 and incorporated herein by</w:t>
        </w:r>
      </w:hyperlink>
    </w:p>
    <w:p>
      <w:pPr>
        <w:spacing w:after="0" w:line="1" w:lineRule="exact"/>
        <w:rPr>
          <w:sz w:val="20"/>
          <w:szCs w:val="20"/>
          <w:color w:val="auto"/>
        </w:rPr>
      </w:pPr>
    </w:p>
    <w:p>
      <w:pPr>
        <w:ind w:left="1000"/>
        <w:spacing w:after="0"/>
        <w:rPr>
          <w:rFonts w:ascii="Times New Roman" w:cs="Times New Roman" w:eastAsia="Times New Roman" w:hAnsi="Times New Roman"/>
          <w:sz w:val="18"/>
          <w:szCs w:val="18"/>
          <w:u w:val="single" w:color="auto"/>
          <w:color w:val="0000FF"/>
        </w:rPr>
      </w:pPr>
      <w:hyperlink r:id="rId212">
        <w:r>
          <w:rPr>
            <w:rFonts w:ascii="Times New Roman" w:cs="Times New Roman" w:eastAsia="Times New Roman" w:hAnsi="Times New Roman"/>
            <w:sz w:val="18"/>
            <w:szCs w:val="18"/>
            <w:u w:val="single" w:color="auto"/>
            <w:color w:val="0000FF"/>
          </w:rPr>
          <w:t>reference.*</w:t>
        </w:r>
      </w:hyperlink>
    </w:p>
    <w:p>
      <w:pPr>
        <w:spacing w:after="0" w:line="49" w:lineRule="exact"/>
        <w:rPr>
          <w:sz w:val="20"/>
          <w:szCs w:val="20"/>
          <w:color w:val="auto"/>
        </w:rPr>
      </w:pPr>
    </w:p>
    <w:p>
      <w:pPr>
        <w:ind w:left="1000" w:right="339" w:hanging="901"/>
        <w:spacing w:after="0" w:line="231"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(10)(ix)</w:t>
      </w:r>
      <w:r>
        <w:rPr>
          <w:sz w:val="20"/>
          <w:szCs w:val="20"/>
          <w:color w:val="auto"/>
        </w:rPr>
        <w:tab/>
      </w:r>
      <w:hyperlink r:id="rId213">
        <w:r>
          <w:rPr>
            <w:rFonts w:ascii="Times New Roman" w:cs="Times New Roman" w:eastAsia="Times New Roman" w:hAnsi="Times New Roman"/>
            <w:sz w:val="18"/>
            <w:szCs w:val="18"/>
            <w:u w:val="single" w:color="auto"/>
            <w:color w:val="0000FF"/>
          </w:rPr>
          <w:t>Renasant Bank Executive Deferred Income Plan, filed as exhibit 99.1 to the Form 8-K of the Company filed with the</w:t>
        </w:r>
      </w:hyperlink>
      <w:r>
        <w:rPr>
          <w:rFonts w:ascii="Times New Roman" w:cs="Times New Roman" w:eastAsia="Times New Roman" w:hAnsi="Times New Roman"/>
          <w:sz w:val="18"/>
          <w:szCs w:val="18"/>
          <w:u w:val="single" w:color="auto"/>
          <w:color w:val="0000FF"/>
        </w:rPr>
        <w:t xml:space="preserve"> </w:t>
      </w:r>
      <w:hyperlink r:id="rId213">
        <w:r>
          <w:rPr>
            <w:rFonts w:ascii="Times New Roman" w:cs="Times New Roman" w:eastAsia="Times New Roman" w:hAnsi="Times New Roman"/>
            <w:sz w:val="18"/>
            <w:szCs w:val="18"/>
            <w:u w:val="single" w:color="auto"/>
            <w:color w:val="0000FF"/>
          </w:rPr>
          <w:t>Commission on January 5, 2007 and incorporated herein by reference.*</w:t>
        </w:r>
      </w:hyperlink>
    </w:p>
    <w:p>
      <w:pPr>
        <w:spacing w:after="0" w:line="62" w:lineRule="exact"/>
        <w:rPr>
          <w:sz w:val="20"/>
          <w:szCs w:val="20"/>
          <w:color w:val="auto"/>
        </w:rPr>
      </w:pPr>
    </w:p>
    <w:p>
      <w:pPr>
        <w:ind w:left="1000" w:right="339" w:hanging="877"/>
        <w:spacing w:after="0" w:line="231"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(10)(x)</w:t>
      </w:r>
      <w:r>
        <w:rPr>
          <w:sz w:val="20"/>
          <w:szCs w:val="20"/>
          <w:color w:val="auto"/>
        </w:rPr>
        <w:tab/>
      </w:r>
      <w:hyperlink r:id="rId214">
        <w:r>
          <w:rPr>
            <w:rFonts w:ascii="Times New Roman" w:cs="Times New Roman" w:eastAsia="Times New Roman" w:hAnsi="Times New Roman"/>
            <w:sz w:val="18"/>
            <w:szCs w:val="18"/>
            <w:u w:val="single" w:color="auto"/>
            <w:color w:val="0000FF"/>
          </w:rPr>
          <w:t>Amendment to the Renasant Bank Executive Deferred Income Plan dated December 16, 2008, filed as exhibit 10.3 to the</w:t>
        </w:r>
      </w:hyperlink>
      <w:r>
        <w:rPr>
          <w:rFonts w:ascii="Times New Roman" w:cs="Times New Roman" w:eastAsia="Times New Roman" w:hAnsi="Times New Roman"/>
          <w:sz w:val="18"/>
          <w:szCs w:val="18"/>
          <w:u w:val="single" w:color="auto"/>
          <w:color w:val="0000FF"/>
        </w:rPr>
        <w:t xml:space="preserve"> </w:t>
      </w:r>
      <w:hyperlink r:id="rId214">
        <w:r>
          <w:rPr>
            <w:rFonts w:ascii="Times New Roman" w:cs="Times New Roman" w:eastAsia="Times New Roman" w:hAnsi="Times New Roman"/>
            <w:sz w:val="18"/>
            <w:szCs w:val="18"/>
            <w:u w:val="single" w:color="auto"/>
            <w:color w:val="0000FF"/>
          </w:rPr>
          <w:t>Form 8-K of the Company filed with the Commission on February 17, 2009 and incorporated herein by reference.*</w:t>
        </w:r>
      </w:hyperlink>
    </w:p>
    <w:p>
      <w:pPr>
        <w:spacing w:after="0" w:line="62" w:lineRule="exact"/>
        <w:rPr>
          <w:sz w:val="20"/>
          <w:szCs w:val="20"/>
          <w:color w:val="auto"/>
        </w:rPr>
      </w:pPr>
    </w:p>
    <w:p>
      <w:pPr>
        <w:ind w:left="1000" w:right="339" w:hanging="901"/>
        <w:spacing w:after="0" w:line="280" w:lineRule="auto"/>
        <w:tabs>
          <w:tab w:leader="none" w:pos="9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8"/>
          <w:szCs w:val="18"/>
          <w:color w:val="auto"/>
        </w:rPr>
        <w:t>(10)(xi)</w:t>
      </w:r>
      <w:r>
        <w:rPr>
          <w:sz w:val="20"/>
          <w:szCs w:val="20"/>
          <w:color w:val="auto"/>
        </w:rPr>
        <w:tab/>
      </w:r>
      <w:hyperlink r:id="rId215">
        <w:r>
          <w:rPr>
            <w:rFonts w:ascii="Times New Roman" w:cs="Times New Roman" w:eastAsia="Times New Roman" w:hAnsi="Times New Roman"/>
            <w:sz w:val="16"/>
            <w:szCs w:val="16"/>
            <w:u w:val="single" w:color="auto"/>
            <w:color w:val="0000FF"/>
          </w:rPr>
          <w:t>Amendment to the Renasant Bank Executive Deferred Income Plan dated December 27, 2016, filed as exhibit 10.1 to the</w:t>
        </w:r>
      </w:hyperlink>
      <w:r>
        <w:rPr>
          <w:rFonts w:ascii="Times New Roman" w:cs="Times New Roman" w:eastAsia="Times New Roman" w:hAnsi="Times New Roman"/>
          <w:sz w:val="16"/>
          <w:szCs w:val="16"/>
          <w:u w:val="single" w:color="auto"/>
          <w:color w:val="0000FF"/>
        </w:rPr>
        <w:t xml:space="preserve"> </w:t>
      </w:r>
      <w:hyperlink r:id="rId215">
        <w:r>
          <w:rPr>
            <w:rFonts w:ascii="Times New Roman" w:cs="Times New Roman" w:eastAsia="Times New Roman" w:hAnsi="Times New Roman"/>
            <w:sz w:val="16"/>
            <w:szCs w:val="16"/>
            <w:u w:val="single" w:color="auto"/>
            <w:color w:val="0000FF"/>
          </w:rPr>
          <w:t>Form 10-K/A of the Company filed with the Commission on February 28, 2017 and incorporated herein by reference.*</w:t>
        </w:r>
      </w:hyperlink>
    </w:p>
    <w:p>
      <w:pPr>
        <w:spacing w:after="0" w:line="31" w:lineRule="exact"/>
        <w:rPr>
          <w:sz w:val="20"/>
          <w:szCs w:val="20"/>
          <w:color w:val="auto"/>
        </w:rPr>
      </w:pPr>
    </w:p>
    <w:p>
      <w:pPr>
        <w:ind w:left="1000" w:right="339" w:hanging="925"/>
        <w:spacing w:after="0" w:line="231"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(10)(xii)</w:t>
      </w:r>
      <w:r>
        <w:rPr>
          <w:sz w:val="20"/>
          <w:szCs w:val="20"/>
          <w:color w:val="auto"/>
        </w:rPr>
        <w:tab/>
      </w:r>
      <w:hyperlink r:id="rId216">
        <w:r>
          <w:rPr>
            <w:rFonts w:ascii="Times New Roman" w:cs="Times New Roman" w:eastAsia="Times New Roman" w:hAnsi="Times New Roman"/>
            <w:sz w:val="18"/>
            <w:szCs w:val="18"/>
            <w:u w:val="single" w:color="auto"/>
            <w:color w:val="0000FF"/>
          </w:rPr>
          <w:t>Renasant Bank Directors’ Deferred Fee Plan, filed as exhibit 99.2 to the Form 8-K of the Company filed with the</w:t>
        </w:r>
      </w:hyperlink>
      <w:r>
        <w:rPr>
          <w:rFonts w:ascii="Times New Roman" w:cs="Times New Roman" w:eastAsia="Times New Roman" w:hAnsi="Times New Roman"/>
          <w:sz w:val="18"/>
          <w:szCs w:val="18"/>
          <w:u w:val="single" w:color="auto"/>
          <w:color w:val="0000FF"/>
        </w:rPr>
        <w:t xml:space="preserve"> </w:t>
      </w:r>
      <w:hyperlink r:id="rId216">
        <w:r>
          <w:rPr>
            <w:rFonts w:ascii="Times New Roman" w:cs="Times New Roman" w:eastAsia="Times New Roman" w:hAnsi="Times New Roman"/>
            <w:sz w:val="18"/>
            <w:szCs w:val="18"/>
            <w:u w:val="single" w:color="auto"/>
            <w:color w:val="0000FF"/>
          </w:rPr>
          <w:t>Commission on January 5, 2007 and incorporated herein by reference.*</w:t>
        </w:r>
      </w:hyperlink>
    </w:p>
    <w:p>
      <w:pPr>
        <w:spacing w:after="0" w:line="62" w:lineRule="exact"/>
        <w:rPr>
          <w:sz w:val="20"/>
          <w:szCs w:val="20"/>
          <w:color w:val="auto"/>
        </w:rPr>
      </w:pPr>
    </w:p>
    <w:p>
      <w:pPr>
        <w:ind w:left="1000" w:right="339" w:hanging="950"/>
        <w:spacing w:after="0" w:line="231"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(10)(xiii)</w:t>
      </w:r>
      <w:r>
        <w:rPr>
          <w:sz w:val="20"/>
          <w:szCs w:val="20"/>
          <w:color w:val="auto"/>
        </w:rPr>
        <w:tab/>
      </w:r>
      <w:hyperlink r:id="rId217">
        <w:r>
          <w:rPr>
            <w:rFonts w:ascii="Times New Roman" w:cs="Times New Roman" w:eastAsia="Times New Roman" w:hAnsi="Times New Roman"/>
            <w:sz w:val="18"/>
            <w:szCs w:val="18"/>
            <w:u w:val="single" w:color="auto"/>
            <w:color w:val="0000FF"/>
          </w:rPr>
          <w:t>Amendment to the Renasant Bank Directors’ Deferred Fee Plan dated December 16, 2008, filed as exhibit 10.4 to the</w:t>
        </w:r>
      </w:hyperlink>
      <w:r>
        <w:rPr>
          <w:rFonts w:ascii="Times New Roman" w:cs="Times New Roman" w:eastAsia="Times New Roman" w:hAnsi="Times New Roman"/>
          <w:sz w:val="18"/>
          <w:szCs w:val="18"/>
          <w:u w:val="single" w:color="auto"/>
          <w:color w:val="0000FF"/>
        </w:rPr>
        <w:t xml:space="preserve"> </w:t>
      </w:r>
      <w:hyperlink r:id="rId217">
        <w:r>
          <w:rPr>
            <w:rFonts w:ascii="Times New Roman" w:cs="Times New Roman" w:eastAsia="Times New Roman" w:hAnsi="Times New Roman"/>
            <w:sz w:val="18"/>
            <w:szCs w:val="18"/>
            <w:u w:val="single" w:color="auto"/>
            <w:color w:val="0000FF"/>
          </w:rPr>
          <w:t>Form 8-K of the Company filed with the Commission on February 17, 2009 and incorporated herein by reference.*</w:t>
        </w:r>
      </w:hyperlink>
    </w:p>
    <w:p>
      <w:pPr>
        <w:spacing w:after="0" w:line="62" w:lineRule="exact"/>
        <w:rPr>
          <w:sz w:val="20"/>
          <w:szCs w:val="20"/>
          <w:color w:val="auto"/>
        </w:rPr>
      </w:pPr>
    </w:p>
    <w:p>
      <w:pPr>
        <w:ind w:left="1000" w:right="339" w:hanging="945"/>
        <w:spacing w:after="0" w:line="231"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(10)(xiv)</w:t>
      </w:r>
      <w:r>
        <w:rPr>
          <w:sz w:val="20"/>
          <w:szCs w:val="20"/>
          <w:color w:val="auto"/>
        </w:rPr>
        <w:tab/>
      </w:r>
      <w:hyperlink r:id="rId218">
        <w:r>
          <w:rPr>
            <w:rFonts w:ascii="Times New Roman" w:cs="Times New Roman" w:eastAsia="Times New Roman" w:hAnsi="Times New Roman"/>
            <w:sz w:val="18"/>
            <w:szCs w:val="18"/>
            <w:u w:val="single" w:color="auto"/>
            <w:color w:val="0000FF"/>
          </w:rPr>
          <w:t>Amendment to the Renasant Bank Directors’ Deferred Fee Plan dated December 27, 2016, filed as exhibit 10.2 to the</w:t>
        </w:r>
      </w:hyperlink>
      <w:r>
        <w:rPr>
          <w:rFonts w:ascii="Times New Roman" w:cs="Times New Roman" w:eastAsia="Times New Roman" w:hAnsi="Times New Roman"/>
          <w:sz w:val="18"/>
          <w:szCs w:val="18"/>
          <w:u w:val="single" w:color="auto"/>
          <w:color w:val="0000FF"/>
        </w:rPr>
        <w:t xml:space="preserve"> </w:t>
      </w:r>
      <w:hyperlink r:id="rId218">
        <w:r>
          <w:rPr>
            <w:rFonts w:ascii="Times New Roman" w:cs="Times New Roman" w:eastAsia="Times New Roman" w:hAnsi="Times New Roman"/>
            <w:sz w:val="18"/>
            <w:szCs w:val="18"/>
            <w:u w:val="single" w:color="auto"/>
            <w:color w:val="0000FF"/>
          </w:rPr>
          <w:t>Form 10-K/A of the Company filed with the Commission on February 28, 2017 and incorporated herein by reference.*</w:t>
        </w:r>
      </w:hyperlink>
    </w:p>
    <w:p>
      <w:pPr>
        <w:spacing w:after="0" w:line="62" w:lineRule="exact"/>
        <w:rPr>
          <w:sz w:val="20"/>
          <w:szCs w:val="20"/>
          <w:color w:val="auto"/>
        </w:rPr>
      </w:pPr>
    </w:p>
    <w:p>
      <w:pPr>
        <w:ind w:left="1000" w:right="339" w:hanging="921"/>
        <w:spacing w:after="0" w:line="231"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(10)(xv)</w:t>
      </w:r>
      <w:r>
        <w:rPr>
          <w:sz w:val="20"/>
          <w:szCs w:val="20"/>
          <w:color w:val="auto"/>
        </w:rPr>
        <w:tab/>
      </w:r>
      <w:hyperlink r:id="rId219">
        <w:r>
          <w:rPr>
            <w:rFonts w:ascii="Times New Roman" w:cs="Times New Roman" w:eastAsia="Times New Roman" w:hAnsi="Times New Roman"/>
            <w:sz w:val="18"/>
            <w:szCs w:val="18"/>
            <w:u w:val="single" w:color="auto"/>
            <w:color w:val="0000FF"/>
          </w:rPr>
          <w:t>Renasant Corporation Severance Pay Plan, filed as exhibit 10.5 to the Form 8-K of the Company filed with the</w:t>
        </w:r>
      </w:hyperlink>
      <w:r>
        <w:rPr>
          <w:rFonts w:ascii="Times New Roman" w:cs="Times New Roman" w:eastAsia="Times New Roman" w:hAnsi="Times New Roman"/>
          <w:sz w:val="18"/>
          <w:szCs w:val="18"/>
          <w:u w:val="single" w:color="auto"/>
          <w:color w:val="0000FF"/>
        </w:rPr>
        <w:t xml:space="preserve"> </w:t>
      </w:r>
      <w:hyperlink r:id="rId219">
        <w:r>
          <w:rPr>
            <w:rFonts w:ascii="Times New Roman" w:cs="Times New Roman" w:eastAsia="Times New Roman" w:hAnsi="Times New Roman"/>
            <w:sz w:val="18"/>
            <w:szCs w:val="18"/>
            <w:u w:val="single" w:color="auto"/>
            <w:color w:val="0000FF"/>
          </w:rPr>
          <w:t>Commission on February 17, 2009 and incorporated herein by reference.*</w:t>
        </w:r>
      </w:hyperlink>
    </w:p>
    <w:p>
      <w:pPr>
        <w:spacing w:after="0" w:line="62" w:lineRule="exact"/>
        <w:rPr>
          <w:sz w:val="20"/>
          <w:szCs w:val="20"/>
          <w:color w:val="auto"/>
        </w:rPr>
      </w:pPr>
    </w:p>
    <w:p>
      <w:pPr>
        <w:jc w:val="right"/>
        <w:ind w:left="40" w:right="339"/>
        <w:spacing w:after="0" w:line="21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(10)(xvi)    </w:t>
      </w:r>
      <w:hyperlink r:id="rId220">
        <w:r>
          <w:rPr>
            <w:rFonts w:ascii="Times New Roman" w:cs="Times New Roman" w:eastAsia="Times New Roman" w:hAnsi="Times New Roman"/>
            <w:sz w:val="18"/>
            <w:szCs w:val="18"/>
            <w:u w:val="single" w:color="auto"/>
            <w:color w:val="0000FF"/>
          </w:rPr>
          <w:t>Executive Employment Agreement dated January 12, 2016, between Renasant Corporation and Kevin D. Chapman, filed</w:t>
        </w:r>
      </w:hyperlink>
      <w:r>
        <w:rPr>
          <w:rFonts w:ascii="Times New Roman" w:cs="Times New Roman" w:eastAsia="Times New Roman" w:hAnsi="Times New Roman"/>
          <w:sz w:val="18"/>
          <w:szCs w:val="18"/>
          <w:color w:val="auto"/>
        </w:rPr>
        <w:t xml:space="preserve"> </w:t>
      </w:r>
      <w:hyperlink r:id="rId220">
        <w:r>
          <w:rPr>
            <w:rFonts w:ascii="Times New Roman" w:cs="Times New Roman" w:eastAsia="Times New Roman" w:hAnsi="Times New Roman"/>
            <w:sz w:val="18"/>
            <w:szCs w:val="18"/>
            <w:u w:val="single" w:color="auto"/>
            <w:color w:val="0000FF"/>
          </w:rPr>
          <w:t>as exhibit 10.1 to the Form 8-K of the Company filed with the Commission on January 13, 2016 and incorporated herein</w:t>
        </w:r>
      </w:hyperlink>
    </w:p>
    <w:p>
      <w:pPr>
        <w:spacing w:after="0" w:line="1" w:lineRule="exact"/>
        <w:rPr>
          <w:sz w:val="20"/>
          <w:szCs w:val="20"/>
          <w:color w:val="auto"/>
        </w:rPr>
      </w:pPr>
    </w:p>
    <w:p>
      <w:pPr>
        <w:ind w:left="1000"/>
        <w:spacing w:after="0"/>
        <w:rPr>
          <w:rFonts w:ascii="Times New Roman" w:cs="Times New Roman" w:eastAsia="Times New Roman" w:hAnsi="Times New Roman"/>
          <w:sz w:val="18"/>
          <w:szCs w:val="18"/>
          <w:u w:val="single" w:color="auto"/>
          <w:color w:val="0000FF"/>
        </w:rPr>
      </w:pPr>
      <w:hyperlink r:id="rId220">
        <w:r>
          <w:rPr>
            <w:rFonts w:ascii="Times New Roman" w:cs="Times New Roman" w:eastAsia="Times New Roman" w:hAnsi="Times New Roman"/>
            <w:sz w:val="18"/>
            <w:szCs w:val="18"/>
            <w:u w:val="single" w:color="auto"/>
            <w:color w:val="0000FF"/>
          </w:rPr>
          <w:t>by reference.*</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67945</wp:posOffset>
            </wp:positionV>
            <wp:extent cx="7160895"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9979"/>
          </w:cols>
          <w:pgMar w:left="480" w:top="911" w:right="1440"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207"/>
        </w:trPr>
        <w:tc>
          <w:tcPr>
            <w:tcW w:w="104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7"/>
              </w:rPr>
              <w:t>(10)(xvii)</w:t>
            </w:r>
          </w:p>
        </w:tc>
        <w:tc>
          <w:tcPr>
            <w:tcW w:w="9080" w:type="dxa"/>
            <w:vAlign w:val="bottom"/>
            <w:gridSpan w:val="33"/>
          </w:tcPr>
          <w:p>
            <w:pPr>
              <w:spacing w:after="0"/>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Amendment to the Executive Employment Agreement dated February 14, 2018, between Renasant Corporation and Kevin</w:t>
              </w:r>
            </w:hyperlink>
          </w:p>
        </w:tc>
      </w:tr>
      <w:tr>
        <w:trPr>
          <w:trHeight w:val="151"/>
        </w:trPr>
        <w:tc>
          <w:tcPr>
            <w:tcW w:w="1040" w:type="dxa"/>
            <w:vAlign w:val="bottom"/>
          </w:tcPr>
          <w:p>
            <w:pPr>
              <w:spacing w:after="0"/>
              <w:rPr>
                <w:sz w:val="13"/>
                <w:szCs w:val="13"/>
                <w:color w:val="auto"/>
              </w:rPr>
            </w:pPr>
          </w:p>
        </w:tc>
        <w:tc>
          <w:tcPr>
            <w:tcW w:w="8760" w:type="dxa"/>
            <w:vAlign w:val="bottom"/>
            <w:tcBorders>
              <w:top w:val="single" w:sz="8" w:color="0000FF"/>
              <w:bottom w:val="single" w:sz="8" w:color="0000FF"/>
            </w:tcBorders>
            <w:gridSpan w:val="17"/>
          </w:tcPr>
          <w:p>
            <w:pPr>
              <w:spacing w:after="0" w:line="152" w:lineRule="exact"/>
              <w:rPr>
                <w:rFonts w:ascii="Times New Roman" w:cs="Times New Roman" w:eastAsia="Times New Roman" w:hAnsi="Times New Roman"/>
                <w:sz w:val="16"/>
                <w:szCs w:val="16"/>
                <w:color w:val="0000FF"/>
              </w:rPr>
            </w:pPr>
            <w:hyperlink r:id="rId222">
              <w:r>
                <w:rPr>
                  <w:rFonts w:ascii="Times New Roman" w:cs="Times New Roman" w:eastAsia="Times New Roman" w:hAnsi="Times New Roman"/>
                  <w:sz w:val="16"/>
                  <w:szCs w:val="16"/>
                  <w:color w:val="0000FF"/>
                </w:rPr>
                <w:t>D. Chapman, filed as exhibit 10.2 to the Form 10-K of the Company filed with the Commission on February 28, 2018 and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4"/>
        </w:trPr>
        <w:tc>
          <w:tcPr>
            <w:tcW w:w="1040" w:type="dxa"/>
            <w:vAlign w:val="bottom"/>
          </w:tcPr>
          <w:p>
            <w:pPr>
              <w:spacing w:after="0"/>
              <w:rPr>
                <w:sz w:val="14"/>
                <w:szCs w:val="14"/>
                <w:color w:val="auto"/>
              </w:rPr>
            </w:pPr>
          </w:p>
        </w:tc>
        <w:tc>
          <w:tcPr>
            <w:tcW w:w="9000" w:type="dxa"/>
            <w:vAlign w:val="bottom"/>
            <w:gridSpan w:val="29"/>
          </w:tcPr>
          <w:p>
            <w:pPr>
              <w:spacing w:after="0" w:line="164"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104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8"/>
              </w:rPr>
              <w:t>10(xviii)</w:t>
            </w:r>
          </w:p>
        </w:tc>
        <w:tc>
          <w:tcPr>
            <w:tcW w:w="9080" w:type="dxa"/>
            <w:vAlign w:val="bottom"/>
            <w:gridSpan w:val="33"/>
          </w:tcPr>
          <w:p>
            <w:pPr>
              <w:spacing w:after="0"/>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Amendment No. 2 to the Executive Employment Agreement dated February 25, 2025, between Renasant Corporation and</w:t>
              </w:r>
            </w:hyperlink>
          </w:p>
        </w:tc>
      </w:tr>
      <w:tr>
        <w:trPr>
          <w:trHeight w:val="151"/>
        </w:trPr>
        <w:tc>
          <w:tcPr>
            <w:tcW w:w="1040" w:type="dxa"/>
            <w:vAlign w:val="bottom"/>
          </w:tcPr>
          <w:p>
            <w:pPr>
              <w:spacing w:after="0"/>
              <w:rPr>
                <w:sz w:val="13"/>
                <w:szCs w:val="13"/>
                <w:color w:val="auto"/>
              </w:rPr>
            </w:pPr>
          </w:p>
        </w:tc>
        <w:tc>
          <w:tcPr>
            <w:tcW w:w="8780" w:type="dxa"/>
            <w:vAlign w:val="bottom"/>
            <w:tcBorders>
              <w:top w:val="single" w:sz="8" w:color="0000FF"/>
              <w:bottom w:val="single" w:sz="8" w:color="0000FF"/>
            </w:tcBorders>
            <w:gridSpan w:val="18"/>
          </w:tcPr>
          <w:p>
            <w:pPr>
              <w:spacing w:after="0" w:line="152" w:lineRule="exact"/>
              <w:rPr>
                <w:rFonts w:ascii="Times New Roman" w:cs="Times New Roman" w:eastAsia="Times New Roman" w:hAnsi="Times New Roman"/>
                <w:sz w:val="16"/>
                <w:szCs w:val="16"/>
                <w:color w:val="0000FF"/>
              </w:rPr>
            </w:pPr>
            <w:hyperlink r:id="rId223">
              <w:r>
                <w:rPr>
                  <w:rFonts w:ascii="Times New Roman" w:cs="Times New Roman" w:eastAsia="Times New Roman" w:hAnsi="Times New Roman"/>
                  <w:sz w:val="16"/>
                  <w:szCs w:val="16"/>
                  <w:color w:val="0000FF"/>
                </w:rPr>
                <w:t>Kevin D. Chapman, filed as exhibit 10.23 to the Form 10-K of the Company filed with the Commission on February 26,</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4"/>
        </w:trPr>
        <w:tc>
          <w:tcPr>
            <w:tcW w:w="1040" w:type="dxa"/>
            <w:vAlign w:val="bottom"/>
          </w:tcPr>
          <w:p>
            <w:pPr>
              <w:spacing w:after="0"/>
              <w:rPr>
                <w:sz w:val="14"/>
                <w:szCs w:val="14"/>
                <w:color w:val="auto"/>
              </w:rPr>
            </w:pPr>
          </w:p>
        </w:tc>
        <w:tc>
          <w:tcPr>
            <w:tcW w:w="8960" w:type="dxa"/>
            <w:vAlign w:val="bottom"/>
            <w:gridSpan w:val="27"/>
          </w:tcPr>
          <w:p>
            <w:pPr>
              <w:spacing w:after="0" w:line="164"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2025 and incorporated herein by reference.*</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6"/>
        </w:trPr>
        <w:tc>
          <w:tcPr>
            <w:tcW w:w="104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8"/>
              </w:rPr>
              <w:t>(10)(xix)</w:t>
            </w:r>
          </w:p>
        </w:tc>
        <w:tc>
          <w:tcPr>
            <w:tcW w:w="9080" w:type="dxa"/>
            <w:vAlign w:val="bottom"/>
            <w:gridSpan w:val="33"/>
          </w:tcPr>
          <w:p>
            <w:pPr>
              <w:spacing w:after="0"/>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Executive Employment Agreement dated January 12, 2016, between Renasant Corporation and C. Mitchell Waycaster,</w:t>
              </w:r>
            </w:hyperlink>
          </w:p>
        </w:tc>
      </w:tr>
      <w:tr>
        <w:trPr>
          <w:trHeight w:val="151"/>
        </w:trPr>
        <w:tc>
          <w:tcPr>
            <w:tcW w:w="1040" w:type="dxa"/>
            <w:vAlign w:val="bottom"/>
          </w:tcPr>
          <w:p>
            <w:pPr>
              <w:spacing w:after="0"/>
              <w:rPr>
                <w:sz w:val="13"/>
                <w:szCs w:val="13"/>
                <w:color w:val="auto"/>
              </w:rPr>
            </w:pPr>
          </w:p>
        </w:tc>
        <w:tc>
          <w:tcPr>
            <w:tcW w:w="8860" w:type="dxa"/>
            <w:vAlign w:val="bottom"/>
            <w:tcBorders>
              <w:top w:val="single" w:sz="8" w:color="0000FF"/>
            </w:tcBorders>
            <w:gridSpan w:val="22"/>
          </w:tcPr>
          <w:p>
            <w:pPr>
              <w:spacing w:after="0" w:line="152" w:lineRule="exact"/>
              <w:rPr>
                <w:rFonts w:ascii="Times New Roman" w:cs="Times New Roman" w:eastAsia="Times New Roman" w:hAnsi="Times New Roman"/>
                <w:sz w:val="16"/>
                <w:szCs w:val="16"/>
                <w:color w:val="0000FF"/>
              </w:rPr>
            </w:pPr>
            <w:hyperlink r:id="rId224">
              <w:r>
                <w:rPr>
                  <w:rFonts w:ascii="Times New Roman" w:cs="Times New Roman" w:eastAsia="Times New Roman" w:hAnsi="Times New Roman"/>
                  <w:sz w:val="16"/>
                  <w:szCs w:val="16"/>
                  <w:color w:val="0000FF"/>
                </w:rPr>
                <w:t>filed as exhibit 10.2 to the Form 8-K of the Company filed with the Commission on January 13, 2016 and incorporated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4"/>
        </w:trPr>
        <w:tc>
          <w:tcPr>
            <w:tcW w:w="1040" w:type="dxa"/>
            <w:vAlign w:val="bottom"/>
          </w:tcPr>
          <w:p>
            <w:pPr>
              <w:spacing w:after="0"/>
              <w:rPr>
                <w:sz w:val="14"/>
                <w:szCs w:val="14"/>
                <w:color w:val="auto"/>
              </w:rPr>
            </w:pPr>
          </w:p>
        </w:tc>
        <w:tc>
          <w:tcPr>
            <w:tcW w:w="1480" w:type="dxa"/>
            <w:vAlign w:val="bottom"/>
            <w:tcBorders>
              <w:top w:val="single" w:sz="8" w:color="0000FF"/>
              <w:bottom w:val="single" w:sz="8" w:color="0000FF"/>
            </w:tcBorders>
            <w:gridSpan w:val="2"/>
          </w:tcPr>
          <w:p>
            <w:pPr>
              <w:spacing w:after="0" w:line="164" w:lineRule="exact"/>
              <w:rPr>
                <w:rFonts w:ascii="Times New Roman" w:cs="Times New Roman" w:eastAsia="Times New Roman" w:hAnsi="Times New Roman"/>
                <w:sz w:val="18"/>
                <w:szCs w:val="18"/>
                <w:color w:val="0000FF"/>
                <w:w w:val="95"/>
              </w:rPr>
            </w:pPr>
            <w:hyperlink r:id="rId224">
              <w:r>
                <w:rPr>
                  <w:rFonts w:ascii="Times New Roman" w:cs="Times New Roman" w:eastAsia="Times New Roman" w:hAnsi="Times New Roman"/>
                  <w:sz w:val="18"/>
                  <w:szCs w:val="18"/>
                  <w:color w:val="0000FF"/>
                  <w:w w:val="95"/>
                </w:rPr>
                <w:t>herein by reference.*</w:t>
              </w:r>
            </w:hyperlink>
          </w:p>
        </w:tc>
        <w:tc>
          <w:tcPr>
            <w:tcW w:w="7220" w:type="dxa"/>
            <w:vAlign w:val="bottom"/>
            <w:tcBorders>
              <w:top w:val="single" w:sz="8" w:color="0000FF"/>
            </w:tcBorders>
            <w:gridSpan w:val="1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56"/>
        </w:trPr>
        <w:tc>
          <w:tcPr>
            <w:tcW w:w="104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6"/>
              </w:rPr>
              <w:t>(10)(xx)</w:t>
            </w:r>
          </w:p>
        </w:tc>
        <w:tc>
          <w:tcPr>
            <w:tcW w:w="9080" w:type="dxa"/>
            <w:vAlign w:val="bottom"/>
            <w:gridSpan w:val="33"/>
          </w:tcPr>
          <w:p>
            <w:pPr>
              <w:spacing w:after="0"/>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Amendment to the Executive Employment Agreement dated February 14, 2018, between Renasant Corporation and C.</w:t>
              </w:r>
            </w:hyperlink>
          </w:p>
        </w:tc>
      </w:tr>
      <w:tr>
        <w:trPr>
          <w:trHeight w:val="151"/>
        </w:trPr>
        <w:tc>
          <w:tcPr>
            <w:tcW w:w="1040" w:type="dxa"/>
            <w:vAlign w:val="bottom"/>
          </w:tcPr>
          <w:p>
            <w:pPr>
              <w:spacing w:after="0"/>
              <w:rPr>
                <w:sz w:val="13"/>
                <w:szCs w:val="13"/>
                <w:color w:val="auto"/>
              </w:rPr>
            </w:pPr>
          </w:p>
        </w:tc>
        <w:tc>
          <w:tcPr>
            <w:tcW w:w="9040" w:type="dxa"/>
            <w:vAlign w:val="bottom"/>
            <w:tcBorders>
              <w:top w:val="single" w:sz="8" w:color="0000FF"/>
              <w:bottom w:val="single" w:sz="8" w:color="0000FF"/>
            </w:tcBorders>
            <w:gridSpan w:val="31"/>
          </w:tcPr>
          <w:p>
            <w:pPr>
              <w:spacing w:after="0" w:line="152" w:lineRule="exact"/>
              <w:rPr>
                <w:rFonts w:ascii="Times New Roman" w:cs="Times New Roman" w:eastAsia="Times New Roman" w:hAnsi="Times New Roman"/>
                <w:sz w:val="16"/>
                <w:szCs w:val="16"/>
                <w:color w:val="0000FF"/>
              </w:rPr>
            </w:pPr>
            <w:hyperlink r:id="rId225">
              <w:r>
                <w:rPr>
                  <w:rFonts w:ascii="Times New Roman" w:cs="Times New Roman" w:eastAsia="Times New Roman" w:hAnsi="Times New Roman"/>
                  <w:sz w:val="16"/>
                  <w:szCs w:val="16"/>
                  <w:color w:val="0000FF"/>
                </w:rPr>
                <w:t>Mitchell Waycaster, filed as exhibit 10.3 to the Form 10-K of the Company filed with the Commission on February 28,</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64"/>
        </w:trPr>
        <w:tc>
          <w:tcPr>
            <w:tcW w:w="1040" w:type="dxa"/>
            <w:vAlign w:val="bottom"/>
          </w:tcPr>
          <w:p>
            <w:pPr>
              <w:spacing w:after="0"/>
              <w:rPr>
                <w:sz w:val="14"/>
                <w:szCs w:val="14"/>
                <w:color w:val="auto"/>
              </w:rPr>
            </w:pPr>
          </w:p>
        </w:tc>
        <w:tc>
          <w:tcPr>
            <w:tcW w:w="9060" w:type="dxa"/>
            <w:vAlign w:val="bottom"/>
            <w:gridSpan w:val="32"/>
          </w:tcPr>
          <w:p>
            <w:pPr>
              <w:spacing w:after="0" w:line="164"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2018 and incorporated herein by reference.*</w:t>
              </w:r>
            </w:hyperlink>
          </w:p>
        </w:tc>
        <w:tc>
          <w:tcPr>
            <w:tcW w:w="20" w:type="dxa"/>
            <w:vAlign w:val="bottom"/>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56"/>
        </w:trPr>
        <w:tc>
          <w:tcPr>
            <w:tcW w:w="104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8"/>
              </w:rPr>
              <w:t>10(xxi)</w:t>
            </w:r>
          </w:p>
        </w:tc>
        <w:tc>
          <w:tcPr>
            <w:tcW w:w="9080" w:type="dxa"/>
            <w:vAlign w:val="bottom"/>
            <w:gridSpan w:val="33"/>
          </w:tcPr>
          <w:p>
            <w:pPr>
              <w:spacing w:after="0"/>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Amendment No. 2 to the Executive Employment Agreement dated December 17, 2024, between Renasant Corporation and</w:t>
              </w:r>
            </w:hyperlink>
          </w:p>
        </w:tc>
      </w:tr>
      <w:tr>
        <w:trPr>
          <w:trHeight w:val="151"/>
        </w:trPr>
        <w:tc>
          <w:tcPr>
            <w:tcW w:w="1040" w:type="dxa"/>
            <w:vAlign w:val="bottom"/>
          </w:tcPr>
          <w:p>
            <w:pPr>
              <w:spacing w:after="0"/>
              <w:rPr>
                <w:sz w:val="13"/>
                <w:szCs w:val="13"/>
                <w:color w:val="auto"/>
              </w:rPr>
            </w:pPr>
          </w:p>
        </w:tc>
        <w:tc>
          <w:tcPr>
            <w:tcW w:w="9060" w:type="dxa"/>
            <w:vAlign w:val="bottom"/>
            <w:tcBorders>
              <w:top w:val="single" w:sz="8" w:color="0000FF"/>
            </w:tcBorders>
            <w:gridSpan w:val="32"/>
          </w:tcPr>
          <w:p>
            <w:pPr>
              <w:spacing w:after="0" w:line="152" w:lineRule="exact"/>
              <w:rPr>
                <w:rFonts w:ascii="Times New Roman" w:cs="Times New Roman" w:eastAsia="Times New Roman" w:hAnsi="Times New Roman"/>
                <w:sz w:val="16"/>
                <w:szCs w:val="16"/>
                <w:color w:val="0000FF"/>
              </w:rPr>
            </w:pPr>
            <w:hyperlink r:id="rId226">
              <w:r>
                <w:rPr>
                  <w:rFonts w:ascii="Times New Roman" w:cs="Times New Roman" w:eastAsia="Times New Roman" w:hAnsi="Times New Roman"/>
                  <w:sz w:val="16"/>
                  <w:szCs w:val="16"/>
                  <w:color w:val="0000FF"/>
                </w:rPr>
                <w:t>C. Mitchell Waycaster, filed as exhibit 10.26 to the Form 10-K of the Company filed with Commission on February 26,</w:t>
              </w:r>
            </w:hyperlink>
          </w:p>
        </w:tc>
        <w:tc>
          <w:tcPr>
            <w:tcW w:w="20" w:type="dxa"/>
            <w:vAlign w:val="bottom"/>
          </w:tcPr>
          <w:p>
            <w:pPr>
              <w:spacing w:after="0"/>
              <w:rPr>
                <w:sz w:val="13"/>
                <w:szCs w:val="13"/>
                <w:color w:val="auto"/>
              </w:rPr>
            </w:pPr>
          </w:p>
        </w:tc>
      </w:tr>
      <w:tr>
        <w:trPr>
          <w:trHeight w:val="164"/>
        </w:trPr>
        <w:tc>
          <w:tcPr>
            <w:tcW w:w="1040" w:type="dxa"/>
            <w:vAlign w:val="bottom"/>
          </w:tcPr>
          <w:p>
            <w:pPr>
              <w:spacing w:after="0"/>
              <w:rPr>
                <w:sz w:val="14"/>
                <w:szCs w:val="14"/>
                <w:color w:val="auto"/>
              </w:rPr>
            </w:pPr>
          </w:p>
        </w:tc>
        <w:tc>
          <w:tcPr>
            <w:tcW w:w="8700" w:type="dxa"/>
            <w:vAlign w:val="bottom"/>
            <w:tcBorders>
              <w:top w:val="single" w:sz="8" w:color="0000FF"/>
            </w:tcBorders>
            <w:gridSpan w:val="14"/>
          </w:tcPr>
          <w:p>
            <w:pPr>
              <w:spacing w:after="0" w:line="164"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2025 and 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56"/>
        </w:trPr>
        <w:tc>
          <w:tcPr>
            <w:tcW w:w="104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7"/>
              </w:rPr>
              <w:t>(10)(xxii)</w:t>
            </w:r>
          </w:p>
        </w:tc>
        <w:tc>
          <w:tcPr>
            <w:tcW w:w="9080" w:type="dxa"/>
            <w:vAlign w:val="bottom"/>
            <w:gridSpan w:val="33"/>
          </w:tcPr>
          <w:p>
            <w:pPr>
              <w:spacing w:after="0"/>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Brand Group Holdings, Inc. Deferred Compensation Plan, as amended on January 1, 2016 and September 5, 2018, filed as</w:t>
              </w:r>
            </w:hyperlink>
          </w:p>
        </w:tc>
      </w:tr>
      <w:tr>
        <w:trPr>
          <w:trHeight w:val="151"/>
        </w:trPr>
        <w:tc>
          <w:tcPr>
            <w:tcW w:w="1040" w:type="dxa"/>
            <w:vAlign w:val="bottom"/>
          </w:tcPr>
          <w:p>
            <w:pPr>
              <w:spacing w:after="0"/>
              <w:rPr>
                <w:sz w:val="13"/>
                <w:szCs w:val="13"/>
                <w:color w:val="auto"/>
              </w:rPr>
            </w:pPr>
          </w:p>
        </w:tc>
        <w:tc>
          <w:tcPr>
            <w:tcW w:w="8900" w:type="dxa"/>
            <w:vAlign w:val="bottom"/>
            <w:tcBorders>
              <w:top w:val="single" w:sz="8" w:color="0000FF"/>
              <w:bottom w:val="single" w:sz="8" w:color="0000FF"/>
            </w:tcBorders>
            <w:gridSpan w:val="24"/>
          </w:tcPr>
          <w:p>
            <w:pPr>
              <w:spacing w:after="0" w:line="152" w:lineRule="exact"/>
              <w:rPr>
                <w:rFonts w:ascii="Times New Roman" w:cs="Times New Roman" w:eastAsia="Times New Roman" w:hAnsi="Times New Roman"/>
                <w:sz w:val="16"/>
                <w:szCs w:val="16"/>
                <w:color w:val="0000FF"/>
              </w:rPr>
            </w:pPr>
            <w:hyperlink r:id="rId227">
              <w:r>
                <w:rPr>
                  <w:rFonts w:ascii="Times New Roman" w:cs="Times New Roman" w:eastAsia="Times New Roman" w:hAnsi="Times New Roman"/>
                  <w:sz w:val="16"/>
                  <w:szCs w:val="16"/>
                  <w:color w:val="0000FF"/>
                </w:rPr>
                <w:t>exhibit 10.1 to the Form 10-K of the Company filed with the Commission on February 27, 2019 and incorporated herein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4"/>
        </w:trPr>
        <w:tc>
          <w:tcPr>
            <w:tcW w:w="1040" w:type="dxa"/>
            <w:vAlign w:val="bottom"/>
          </w:tcPr>
          <w:p>
            <w:pPr>
              <w:spacing w:after="0"/>
              <w:rPr>
                <w:sz w:val="14"/>
                <w:szCs w:val="14"/>
                <w:color w:val="auto"/>
              </w:rPr>
            </w:pPr>
          </w:p>
        </w:tc>
        <w:tc>
          <w:tcPr>
            <w:tcW w:w="1000" w:type="dxa"/>
            <w:vAlign w:val="bottom"/>
            <w:tcBorders>
              <w:bottom w:val="single" w:sz="8" w:color="0000FF"/>
            </w:tcBorders>
          </w:tcPr>
          <w:p>
            <w:pPr>
              <w:spacing w:after="0" w:line="164" w:lineRule="exact"/>
              <w:rPr>
                <w:rFonts w:ascii="Times New Roman" w:cs="Times New Roman" w:eastAsia="Times New Roman" w:hAnsi="Times New Roman"/>
                <w:sz w:val="18"/>
                <w:szCs w:val="18"/>
                <w:color w:val="0000FF"/>
                <w:w w:val="95"/>
              </w:rPr>
            </w:pPr>
            <w:hyperlink r:id="rId227">
              <w:r>
                <w:rPr>
                  <w:rFonts w:ascii="Times New Roman" w:cs="Times New Roman" w:eastAsia="Times New Roman" w:hAnsi="Times New Roman"/>
                  <w:sz w:val="18"/>
                  <w:szCs w:val="18"/>
                  <w:color w:val="0000FF"/>
                  <w:w w:val="95"/>
                </w:rPr>
                <w:t>by reference.*</w:t>
              </w:r>
            </w:hyperlink>
          </w:p>
        </w:tc>
        <w:tc>
          <w:tcPr>
            <w:tcW w:w="8020" w:type="dxa"/>
            <w:vAlign w:val="bottom"/>
            <w:gridSpan w:val="29"/>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56"/>
        </w:trPr>
        <w:tc>
          <w:tcPr>
            <w:tcW w:w="104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8"/>
              </w:rPr>
              <w:t>(10)(xxiii)</w:t>
            </w:r>
          </w:p>
        </w:tc>
        <w:tc>
          <w:tcPr>
            <w:tcW w:w="9080" w:type="dxa"/>
            <w:vAlign w:val="bottom"/>
            <w:gridSpan w:val="33"/>
          </w:tcPr>
          <w:p>
            <w:pPr>
              <w:spacing w:after="0"/>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Renasant Bank Deferred Income Plan, filed as exhibit 10.2 to the Form 10-K of the Company filed with the Commission</w:t>
              </w:r>
            </w:hyperlink>
          </w:p>
        </w:tc>
      </w:tr>
      <w:tr>
        <w:trPr>
          <w:trHeight w:val="151"/>
        </w:trPr>
        <w:tc>
          <w:tcPr>
            <w:tcW w:w="1040" w:type="dxa"/>
            <w:vAlign w:val="bottom"/>
          </w:tcPr>
          <w:p>
            <w:pPr>
              <w:spacing w:after="0"/>
              <w:rPr>
                <w:sz w:val="13"/>
                <w:szCs w:val="13"/>
                <w:color w:val="auto"/>
              </w:rPr>
            </w:pPr>
          </w:p>
        </w:tc>
        <w:tc>
          <w:tcPr>
            <w:tcW w:w="8680" w:type="dxa"/>
            <w:vAlign w:val="bottom"/>
            <w:tcBorders>
              <w:top w:val="single" w:sz="8" w:color="0000FF"/>
            </w:tcBorders>
            <w:gridSpan w:val="13"/>
          </w:tcPr>
          <w:p>
            <w:pPr>
              <w:spacing w:after="0" w:line="152" w:lineRule="exact"/>
              <w:rPr>
                <w:rFonts w:ascii="Times New Roman" w:cs="Times New Roman" w:eastAsia="Times New Roman" w:hAnsi="Times New Roman"/>
                <w:sz w:val="16"/>
                <w:szCs w:val="16"/>
                <w:color w:val="0000FF"/>
              </w:rPr>
            </w:pPr>
            <w:hyperlink r:id="rId228">
              <w:r>
                <w:rPr>
                  <w:rFonts w:ascii="Times New Roman" w:cs="Times New Roman" w:eastAsia="Times New Roman" w:hAnsi="Times New Roman"/>
                  <w:sz w:val="16"/>
                  <w:szCs w:val="16"/>
                  <w:color w:val="0000FF"/>
                </w:rPr>
                <w:t>on February 27, 2019 and incorporated herein by reference.*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69"/>
        </w:trPr>
        <w:tc>
          <w:tcPr>
            <w:tcW w:w="104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7"/>
              </w:rPr>
              <w:t>(10)(xxiv)</w:t>
            </w:r>
          </w:p>
        </w:tc>
        <w:tc>
          <w:tcPr>
            <w:tcW w:w="9080" w:type="dxa"/>
            <w:vAlign w:val="bottom"/>
            <w:gridSpan w:val="33"/>
          </w:tcPr>
          <w:p>
            <w:pPr>
              <w:spacing w:after="0"/>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Amendment to the Renasant Bank Deferred Income Plan dated December 14, 2020, filed as exhibit 10.31 to the Form 10-</w:t>
              </w:r>
            </w:hyperlink>
          </w:p>
        </w:tc>
      </w:tr>
      <w:tr>
        <w:trPr>
          <w:trHeight w:val="151"/>
        </w:trPr>
        <w:tc>
          <w:tcPr>
            <w:tcW w:w="1040" w:type="dxa"/>
            <w:vAlign w:val="bottom"/>
          </w:tcPr>
          <w:p>
            <w:pPr>
              <w:spacing w:after="0"/>
              <w:rPr>
                <w:sz w:val="13"/>
                <w:szCs w:val="13"/>
                <w:color w:val="auto"/>
              </w:rPr>
            </w:pPr>
          </w:p>
        </w:tc>
        <w:tc>
          <w:tcPr>
            <w:tcW w:w="7520" w:type="dxa"/>
            <w:vAlign w:val="bottom"/>
            <w:tcBorders>
              <w:top w:val="single" w:sz="8" w:color="0000FF"/>
              <w:bottom w:val="single" w:sz="8" w:color="0000FF"/>
            </w:tcBorders>
            <w:gridSpan w:val="9"/>
          </w:tcPr>
          <w:p>
            <w:pPr>
              <w:spacing w:after="0" w:line="152" w:lineRule="exact"/>
              <w:rPr>
                <w:rFonts w:ascii="Times New Roman" w:cs="Times New Roman" w:eastAsia="Times New Roman" w:hAnsi="Times New Roman"/>
                <w:sz w:val="16"/>
                <w:szCs w:val="16"/>
                <w:color w:val="0000FF"/>
              </w:rPr>
            </w:pPr>
            <w:hyperlink r:id="rId229">
              <w:r>
                <w:rPr>
                  <w:rFonts w:ascii="Times New Roman" w:cs="Times New Roman" w:eastAsia="Times New Roman" w:hAnsi="Times New Roman"/>
                  <w:sz w:val="16"/>
                  <w:szCs w:val="16"/>
                  <w:color w:val="0000FF"/>
                </w:rPr>
                <w:t>K of the Company filed with the Commission on February 26, 2021 and incorporated herein by reference.*</w:t>
              </w:r>
            </w:hyperlink>
          </w:p>
        </w:tc>
        <w:tc>
          <w:tcPr>
            <w:tcW w:w="140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69"/>
        </w:trPr>
        <w:tc>
          <w:tcPr>
            <w:tcW w:w="104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8"/>
              </w:rPr>
              <w:t>(10)(xxv)</w:t>
            </w:r>
          </w:p>
        </w:tc>
        <w:tc>
          <w:tcPr>
            <w:tcW w:w="9080" w:type="dxa"/>
            <w:vAlign w:val="bottom"/>
            <w:gridSpan w:val="33"/>
          </w:tcPr>
          <w:p>
            <w:pPr>
              <w:spacing w:after="0"/>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Renasant Corporation 2020 Long Term Equity Incentive Compensation Plan, filed as exhibit 10.1 to the Form 8-K of the</w:t>
              </w:r>
            </w:hyperlink>
          </w:p>
        </w:tc>
      </w:tr>
      <w:tr>
        <w:trPr>
          <w:trHeight w:val="151"/>
        </w:trPr>
        <w:tc>
          <w:tcPr>
            <w:tcW w:w="1040" w:type="dxa"/>
            <w:vAlign w:val="bottom"/>
          </w:tcPr>
          <w:p>
            <w:pPr>
              <w:spacing w:after="0"/>
              <w:rPr>
                <w:sz w:val="13"/>
                <w:szCs w:val="13"/>
                <w:color w:val="auto"/>
              </w:rPr>
            </w:pPr>
          </w:p>
        </w:tc>
        <w:tc>
          <w:tcPr>
            <w:tcW w:w="6500" w:type="dxa"/>
            <w:vAlign w:val="bottom"/>
            <w:tcBorders>
              <w:top w:val="single" w:sz="8" w:color="0000FF"/>
              <w:bottom w:val="single" w:sz="8" w:color="0000FF"/>
            </w:tcBorders>
            <w:gridSpan w:val="8"/>
          </w:tcPr>
          <w:p>
            <w:pPr>
              <w:spacing w:after="0" w:line="152" w:lineRule="exact"/>
              <w:rPr>
                <w:rFonts w:ascii="Times New Roman" w:cs="Times New Roman" w:eastAsia="Times New Roman" w:hAnsi="Times New Roman"/>
                <w:sz w:val="16"/>
                <w:szCs w:val="16"/>
                <w:color w:val="0000FF"/>
              </w:rPr>
            </w:pPr>
            <w:hyperlink r:id="rId230">
              <w:r>
                <w:rPr>
                  <w:rFonts w:ascii="Times New Roman" w:cs="Times New Roman" w:eastAsia="Times New Roman" w:hAnsi="Times New Roman"/>
                  <w:sz w:val="16"/>
                  <w:szCs w:val="16"/>
                  <w:color w:val="0000FF"/>
                </w:rPr>
                <w:t>Company filed with the Commission on May 8, 2020 and incorporated herein by reference.*</w:t>
              </w:r>
            </w:hyperlink>
          </w:p>
        </w:tc>
        <w:tc>
          <w:tcPr>
            <w:tcW w:w="2240" w:type="dxa"/>
            <w:vAlign w:val="bottom"/>
            <w:tcBorders>
              <w:top w:val="single" w:sz="8" w:color="0000FF"/>
            </w:tcBorders>
            <w:gridSpan w:val="8"/>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69"/>
        </w:trPr>
        <w:tc>
          <w:tcPr>
            <w:tcW w:w="104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7"/>
              </w:rPr>
              <w:t>(10)(xxvi)</w:t>
            </w:r>
          </w:p>
        </w:tc>
        <w:tc>
          <w:tcPr>
            <w:tcW w:w="9080" w:type="dxa"/>
            <w:vAlign w:val="bottom"/>
            <w:gridSpan w:val="33"/>
          </w:tcPr>
          <w:p>
            <w:pPr>
              <w:spacing w:after="0"/>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Amendment No. 1 to Renasant Corporation 2020 Long Term Equity Incentive Compensation Plan, filed as exhibit 10(ii) to</w:t>
              </w:r>
            </w:hyperlink>
          </w:p>
        </w:tc>
      </w:tr>
      <w:tr>
        <w:trPr>
          <w:trHeight w:val="151"/>
        </w:trPr>
        <w:tc>
          <w:tcPr>
            <w:tcW w:w="1040" w:type="dxa"/>
            <w:vAlign w:val="bottom"/>
          </w:tcPr>
          <w:p>
            <w:pPr>
              <w:spacing w:after="0"/>
              <w:rPr>
                <w:sz w:val="13"/>
                <w:szCs w:val="13"/>
                <w:color w:val="auto"/>
              </w:rPr>
            </w:pPr>
          </w:p>
        </w:tc>
        <w:tc>
          <w:tcPr>
            <w:tcW w:w="8040" w:type="dxa"/>
            <w:vAlign w:val="bottom"/>
            <w:tcBorders>
              <w:top w:val="single" w:sz="8" w:color="0000FF"/>
              <w:bottom w:val="single" w:sz="8" w:color="0000FF"/>
            </w:tcBorders>
            <w:gridSpan w:val="10"/>
          </w:tcPr>
          <w:p>
            <w:pPr>
              <w:spacing w:after="0" w:line="152" w:lineRule="exact"/>
              <w:rPr>
                <w:rFonts w:ascii="Times New Roman" w:cs="Times New Roman" w:eastAsia="Times New Roman" w:hAnsi="Times New Roman"/>
                <w:sz w:val="16"/>
                <w:szCs w:val="16"/>
                <w:color w:val="0000FF"/>
              </w:rPr>
            </w:pPr>
            <w:hyperlink r:id="rId231">
              <w:r>
                <w:rPr>
                  <w:rFonts w:ascii="Times New Roman" w:cs="Times New Roman" w:eastAsia="Times New Roman" w:hAnsi="Times New Roman"/>
                  <w:sz w:val="16"/>
                  <w:szCs w:val="16"/>
                  <w:color w:val="0000FF"/>
                </w:rPr>
                <w:t>the Form 10-Q of the Company filed with the Commission on May 8, 2024 and incorporated herein by reference.*</w:t>
              </w:r>
            </w:hyperlink>
          </w:p>
        </w:tc>
        <w:tc>
          <w:tcPr>
            <w:tcW w:w="800" w:type="dxa"/>
            <w:vAlign w:val="bottom"/>
            <w:tcBorders>
              <w:top w:val="single" w:sz="8" w:color="0000FF"/>
            </w:tcBorders>
            <w:gridSpan w:val="11"/>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69"/>
        </w:trPr>
        <w:tc>
          <w:tcPr>
            <w:tcW w:w="104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6"/>
              </w:rPr>
              <w:t>(10)(xxvii)</w:t>
            </w:r>
          </w:p>
        </w:tc>
        <w:tc>
          <w:tcPr>
            <w:tcW w:w="908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Form of Time-Based Restricted Stock Award Agreement under the Renasant Corporation 2020 Long Term Equity</w:t>
            </w:r>
          </w:p>
        </w:tc>
      </w:tr>
      <w:tr>
        <w:trPr>
          <w:trHeight w:val="151"/>
        </w:trPr>
        <w:tc>
          <w:tcPr>
            <w:tcW w:w="1040" w:type="dxa"/>
            <w:vAlign w:val="bottom"/>
          </w:tcPr>
          <w:p>
            <w:pPr>
              <w:spacing w:after="0"/>
              <w:rPr>
                <w:sz w:val="13"/>
                <w:szCs w:val="13"/>
                <w:color w:val="auto"/>
              </w:rPr>
            </w:pPr>
          </w:p>
        </w:tc>
        <w:tc>
          <w:tcPr>
            <w:tcW w:w="2200" w:type="dxa"/>
            <w:vAlign w:val="bottom"/>
            <w:tcBorders>
              <w:top w:val="single" w:sz="8" w:color="0000FF"/>
              <w:bottom w:val="single" w:sz="8" w:color="0000FF"/>
            </w:tcBorders>
            <w:gridSpan w:val="3"/>
          </w:tcPr>
          <w:p>
            <w:pPr>
              <w:spacing w:after="0" w:line="152" w:lineRule="exact"/>
              <w:rPr>
                <w:sz w:val="20"/>
                <w:szCs w:val="20"/>
                <w:color w:val="auto"/>
              </w:rPr>
            </w:pPr>
            <w:r>
              <w:rPr>
                <w:rFonts w:ascii="Times New Roman" w:cs="Times New Roman" w:eastAsia="Times New Roman" w:hAnsi="Times New Roman"/>
                <w:sz w:val="16"/>
                <w:szCs w:val="16"/>
                <w:color w:val="0000FF"/>
              </w:rPr>
              <w:t>Incentive Compensation Plan.*</w:t>
            </w:r>
          </w:p>
        </w:tc>
        <w:tc>
          <w:tcPr>
            <w:tcW w:w="6740" w:type="dxa"/>
            <w:vAlign w:val="bottom"/>
            <w:tcBorders>
              <w:top w:val="single" w:sz="8" w:color="0000FF"/>
            </w:tcBorders>
            <w:gridSpan w:val="23"/>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69"/>
        </w:trPr>
        <w:tc>
          <w:tcPr>
            <w:tcW w:w="104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7"/>
              </w:rPr>
              <w:t>(10)(xxviii)</w:t>
            </w:r>
          </w:p>
        </w:tc>
        <w:tc>
          <w:tcPr>
            <w:tcW w:w="908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Form of Performance-Based Restricted Stock Award Letter under the Renasant Corporation 2020 Long Term Equity</w:t>
            </w:r>
          </w:p>
        </w:tc>
      </w:tr>
      <w:tr>
        <w:trPr>
          <w:trHeight w:val="151"/>
        </w:trPr>
        <w:tc>
          <w:tcPr>
            <w:tcW w:w="1040" w:type="dxa"/>
            <w:vAlign w:val="bottom"/>
          </w:tcPr>
          <w:p>
            <w:pPr>
              <w:spacing w:after="0"/>
              <w:rPr>
                <w:sz w:val="13"/>
                <w:szCs w:val="13"/>
                <w:color w:val="auto"/>
              </w:rPr>
            </w:pPr>
          </w:p>
        </w:tc>
        <w:tc>
          <w:tcPr>
            <w:tcW w:w="2200" w:type="dxa"/>
            <w:vAlign w:val="bottom"/>
            <w:tcBorders>
              <w:top w:val="single" w:sz="8" w:color="0000FF"/>
              <w:bottom w:val="single" w:sz="8" w:color="0000FF"/>
            </w:tcBorders>
            <w:gridSpan w:val="3"/>
          </w:tcPr>
          <w:p>
            <w:pPr>
              <w:spacing w:after="0" w:line="152" w:lineRule="exact"/>
              <w:rPr>
                <w:sz w:val="20"/>
                <w:szCs w:val="20"/>
                <w:color w:val="auto"/>
              </w:rPr>
            </w:pPr>
            <w:r>
              <w:rPr>
                <w:rFonts w:ascii="Times New Roman" w:cs="Times New Roman" w:eastAsia="Times New Roman" w:hAnsi="Times New Roman"/>
                <w:sz w:val="16"/>
                <w:szCs w:val="16"/>
                <w:color w:val="0000FF"/>
              </w:rPr>
              <w:t>Incentive Compensation Plan.*</w:t>
            </w:r>
          </w:p>
        </w:tc>
        <w:tc>
          <w:tcPr>
            <w:tcW w:w="6780" w:type="dxa"/>
            <w:vAlign w:val="bottom"/>
            <w:tcBorders>
              <w:top w:val="single" w:sz="8" w:color="0000FF"/>
            </w:tcBorders>
            <w:gridSpan w:val="25"/>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69"/>
        </w:trPr>
        <w:tc>
          <w:tcPr>
            <w:tcW w:w="104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7"/>
              </w:rPr>
              <w:t>(10)(xxix)</w:t>
            </w:r>
          </w:p>
        </w:tc>
        <w:tc>
          <w:tcPr>
            <w:tcW w:w="9080" w:type="dxa"/>
            <w:vAlign w:val="bottom"/>
            <w:gridSpan w:val="33"/>
          </w:tcPr>
          <w:p>
            <w:pPr>
              <w:spacing w:after="0"/>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Executive Employment Agreement effective dated May 3, 2019 by and between Renasant Corporation and Curtis J. Perry,</w:t>
              </w:r>
            </w:hyperlink>
          </w:p>
        </w:tc>
      </w:tr>
      <w:tr>
        <w:trPr>
          <w:trHeight w:val="151"/>
        </w:trPr>
        <w:tc>
          <w:tcPr>
            <w:tcW w:w="1040" w:type="dxa"/>
            <w:vAlign w:val="bottom"/>
          </w:tcPr>
          <w:p>
            <w:pPr>
              <w:spacing w:after="0"/>
              <w:rPr>
                <w:sz w:val="13"/>
                <w:szCs w:val="13"/>
                <w:color w:val="auto"/>
              </w:rPr>
            </w:pPr>
          </w:p>
        </w:tc>
        <w:tc>
          <w:tcPr>
            <w:tcW w:w="8880" w:type="dxa"/>
            <w:vAlign w:val="bottom"/>
            <w:tcBorders>
              <w:top w:val="single" w:sz="8" w:color="0000FF"/>
            </w:tcBorders>
            <w:gridSpan w:val="23"/>
          </w:tcPr>
          <w:p>
            <w:pPr>
              <w:spacing w:after="0" w:line="152" w:lineRule="exact"/>
              <w:rPr>
                <w:rFonts w:ascii="Times New Roman" w:cs="Times New Roman" w:eastAsia="Times New Roman" w:hAnsi="Times New Roman"/>
                <w:sz w:val="16"/>
                <w:szCs w:val="16"/>
                <w:color w:val="0000FF"/>
              </w:rPr>
            </w:pPr>
            <w:hyperlink r:id="rId232">
              <w:r>
                <w:rPr>
                  <w:rFonts w:ascii="Times New Roman" w:cs="Times New Roman" w:eastAsia="Times New Roman" w:hAnsi="Times New Roman"/>
                  <w:sz w:val="16"/>
                  <w:szCs w:val="16"/>
                  <w:color w:val="0000FF"/>
                </w:rPr>
                <w:t>filed as exhibit 10.33 to the Form 10-K of the Company filed with the Commission on February 26, 2021 and incorporated</w:t>
              </w:r>
            </w:hyperlink>
          </w:p>
        </w:tc>
        <w:tc>
          <w:tcPr>
            <w:tcW w:w="200" w:type="dxa"/>
            <w:vAlign w:val="bottom"/>
            <w:gridSpan w:val="10"/>
          </w:tcPr>
          <w:p>
            <w:pPr>
              <w:spacing w:after="0"/>
              <w:rPr>
                <w:sz w:val="13"/>
                <w:szCs w:val="13"/>
                <w:color w:val="auto"/>
              </w:rPr>
            </w:pPr>
          </w:p>
        </w:tc>
      </w:tr>
      <w:tr>
        <w:trPr>
          <w:trHeight w:val="164"/>
        </w:trPr>
        <w:tc>
          <w:tcPr>
            <w:tcW w:w="1040" w:type="dxa"/>
            <w:vAlign w:val="bottom"/>
          </w:tcPr>
          <w:p>
            <w:pPr>
              <w:spacing w:after="0"/>
              <w:rPr>
                <w:sz w:val="14"/>
                <w:szCs w:val="14"/>
                <w:color w:val="auto"/>
              </w:rPr>
            </w:pPr>
          </w:p>
        </w:tc>
        <w:tc>
          <w:tcPr>
            <w:tcW w:w="1480" w:type="dxa"/>
            <w:vAlign w:val="bottom"/>
            <w:tcBorders>
              <w:top w:val="single" w:sz="8" w:color="0000FF"/>
              <w:bottom w:val="single" w:sz="8" w:color="0000FF"/>
            </w:tcBorders>
            <w:gridSpan w:val="2"/>
          </w:tcPr>
          <w:p>
            <w:pPr>
              <w:spacing w:after="0" w:line="164" w:lineRule="exact"/>
              <w:rPr>
                <w:rFonts w:ascii="Times New Roman" w:cs="Times New Roman" w:eastAsia="Times New Roman" w:hAnsi="Times New Roman"/>
                <w:sz w:val="18"/>
                <w:szCs w:val="18"/>
                <w:color w:val="0000FF"/>
                <w:w w:val="95"/>
              </w:rPr>
            </w:pPr>
            <w:hyperlink r:id="rId232">
              <w:r>
                <w:rPr>
                  <w:rFonts w:ascii="Times New Roman" w:cs="Times New Roman" w:eastAsia="Times New Roman" w:hAnsi="Times New Roman"/>
                  <w:sz w:val="18"/>
                  <w:szCs w:val="18"/>
                  <w:color w:val="0000FF"/>
                  <w:w w:val="95"/>
                </w:rPr>
                <w:t>herein by reference.*</w:t>
              </w:r>
            </w:hyperlink>
          </w:p>
        </w:tc>
        <w:tc>
          <w:tcPr>
            <w:tcW w:w="7220" w:type="dxa"/>
            <w:vAlign w:val="bottom"/>
            <w:tcBorders>
              <w:top w:val="single" w:sz="8" w:color="0000FF"/>
            </w:tcBorders>
            <w:gridSpan w:val="1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gridSpan w:val="13"/>
          </w:tcPr>
          <w:p>
            <w:pPr>
              <w:spacing w:after="0"/>
              <w:rPr>
                <w:sz w:val="14"/>
                <w:szCs w:val="14"/>
                <w:color w:val="auto"/>
              </w:rPr>
            </w:pPr>
          </w:p>
        </w:tc>
      </w:tr>
      <w:tr>
        <w:trPr>
          <w:trHeight w:val="256"/>
        </w:trPr>
        <w:tc>
          <w:tcPr>
            <w:tcW w:w="104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8"/>
              </w:rPr>
              <w:t>(10)(xxx)</w:t>
            </w:r>
          </w:p>
        </w:tc>
        <w:tc>
          <w:tcPr>
            <w:tcW w:w="9080" w:type="dxa"/>
            <w:vAlign w:val="bottom"/>
            <w:gridSpan w:val="33"/>
          </w:tcPr>
          <w:p>
            <w:pPr>
              <w:spacing w:after="0"/>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Executive Employment Agreement effective dated July 27, 2020, by and between Renasant Corporation and James C.</w:t>
              </w:r>
            </w:hyperlink>
          </w:p>
        </w:tc>
      </w:tr>
      <w:tr>
        <w:trPr>
          <w:trHeight w:val="151"/>
        </w:trPr>
        <w:tc>
          <w:tcPr>
            <w:tcW w:w="1040" w:type="dxa"/>
            <w:vAlign w:val="bottom"/>
          </w:tcPr>
          <w:p>
            <w:pPr>
              <w:spacing w:after="0"/>
              <w:rPr>
                <w:sz w:val="13"/>
                <w:szCs w:val="13"/>
                <w:color w:val="auto"/>
              </w:rPr>
            </w:pPr>
          </w:p>
        </w:tc>
        <w:tc>
          <w:tcPr>
            <w:tcW w:w="8800" w:type="dxa"/>
            <w:vAlign w:val="bottom"/>
            <w:tcBorders>
              <w:top w:val="single" w:sz="8" w:color="0000FF"/>
            </w:tcBorders>
            <w:gridSpan w:val="19"/>
          </w:tcPr>
          <w:p>
            <w:pPr>
              <w:spacing w:after="0" w:line="152" w:lineRule="exact"/>
              <w:rPr>
                <w:rFonts w:ascii="Times New Roman" w:cs="Times New Roman" w:eastAsia="Times New Roman" w:hAnsi="Times New Roman"/>
                <w:sz w:val="16"/>
                <w:szCs w:val="16"/>
                <w:color w:val="0000FF"/>
              </w:rPr>
            </w:pPr>
            <w:hyperlink r:id="rId233">
              <w:r>
                <w:rPr>
                  <w:rFonts w:ascii="Times New Roman" w:cs="Times New Roman" w:eastAsia="Times New Roman" w:hAnsi="Times New Roman"/>
                  <w:sz w:val="16"/>
                  <w:szCs w:val="16"/>
                  <w:color w:val="0000FF"/>
                </w:rPr>
                <w:t>Mabry IV, filed as exhibit 10.1 to the Form 8-K of the Company filed with the Commission on July 31, 2020 and</w:t>
              </w:r>
            </w:hyperlink>
          </w:p>
        </w:tc>
        <w:tc>
          <w:tcPr>
            <w:tcW w:w="20" w:type="dxa"/>
            <w:vAlign w:val="bottom"/>
          </w:tcPr>
          <w:p>
            <w:pPr>
              <w:spacing w:after="0"/>
              <w:rPr>
                <w:sz w:val="13"/>
                <w:szCs w:val="13"/>
                <w:color w:val="auto"/>
              </w:rPr>
            </w:pPr>
          </w:p>
        </w:tc>
        <w:tc>
          <w:tcPr>
            <w:tcW w:w="260" w:type="dxa"/>
            <w:vAlign w:val="bottom"/>
            <w:gridSpan w:val="13"/>
          </w:tcPr>
          <w:p>
            <w:pPr>
              <w:spacing w:after="0"/>
              <w:rPr>
                <w:sz w:val="13"/>
                <w:szCs w:val="13"/>
                <w:color w:val="auto"/>
              </w:rPr>
            </w:pPr>
          </w:p>
        </w:tc>
      </w:tr>
      <w:tr>
        <w:trPr>
          <w:trHeight w:val="164"/>
        </w:trPr>
        <w:tc>
          <w:tcPr>
            <w:tcW w:w="1040" w:type="dxa"/>
            <w:vAlign w:val="bottom"/>
          </w:tcPr>
          <w:p>
            <w:pPr>
              <w:spacing w:after="0"/>
              <w:rPr>
                <w:sz w:val="14"/>
                <w:szCs w:val="14"/>
                <w:color w:val="auto"/>
              </w:rPr>
            </w:pPr>
          </w:p>
        </w:tc>
        <w:tc>
          <w:tcPr>
            <w:tcW w:w="8660" w:type="dxa"/>
            <w:vAlign w:val="bottom"/>
            <w:tcBorders>
              <w:top w:val="single" w:sz="8" w:color="0000FF"/>
            </w:tcBorders>
            <w:gridSpan w:val="12"/>
          </w:tcPr>
          <w:p>
            <w:pPr>
              <w:spacing w:after="0" w:line="164"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incorporated herein by reference.*</w:t>
              </w:r>
            </w:hyperlink>
          </w:p>
        </w:tc>
        <w:tc>
          <w:tcPr>
            <w:tcW w:w="60" w:type="dxa"/>
            <w:vAlign w:val="bottom"/>
            <w:gridSpan w:val="3"/>
          </w:tcPr>
          <w:p>
            <w:pPr>
              <w:spacing w:after="0"/>
              <w:rPr>
                <w:sz w:val="14"/>
                <w:szCs w:val="14"/>
                <w:color w:val="auto"/>
              </w:rPr>
            </w:pPr>
          </w:p>
        </w:tc>
        <w:tc>
          <w:tcPr>
            <w:tcW w:w="100" w:type="dxa"/>
            <w:vAlign w:val="bottom"/>
            <w:gridSpan w:val="5"/>
          </w:tcPr>
          <w:p>
            <w:pPr>
              <w:spacing w:after="0"/>
              <w:rPr>
                <w:sz w:val="14"/>
                <w:szCs w:val="14"/>
                <w:color w:val="auto"/>
              </w:rPr>
            </w:pPr>
          </w:p>
        </w:tc>
        <w:tc>
          <w:tcPr>
            <w:tcW w:w="260" w:type="dxa"/>
            <w:vAlign w:val="bottom"/>
            <w:gridSpan w:val="13"/>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2400" w:type="dxa"/>
            <w:vAlign w:val="bottom"/>
            <w:gridSpan w:val="4"/>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6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r>
      <w:tr>
        <w:trPr>
          <w:trHeight w:val="256"/>
        </w:trPr>
        <w:tc>
          <w:tcPr>
            <w:tcW w:w="104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7"/>
              </w:rPr>
              <w:t>(10)(xxxi)</w:t>
            </w:r>
          </w:p>
        </w:tc>
        <w:tc>
          <w:tcPr>
            <w:tcW w:w="9080" w:type="dxa"/>
            <w:vAlign w:val="bottom"/>
            <w:gridSpan w:val="33"/>
          </w:tcPr>
          <w:p>
            <w:pPr>
              <w:spacing w:after="0"/>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Executive Employment Agreement, dated as of April 1, 2025, by and between Renasant Corporation and M. Ray (Hoppy)</w:t>
              </w:r>
            </w:hyperlink>
          </w:p>
        </w:tc>
      </w:tr>
      <w:tr>
        <w:trPr>
          <w:trHeight w:val="151"/>
        </w:trPr>
        <w:tc>
          <w:tcPr>
            <w:tcW w:w="1040" w:type="dxa"/>
            <w:vAlign w:val="bottom"/>
          </w:tcPr>
          <w:p>
            <w:pPr>
              <w:spacing w:after="0"/>
              <w:rPr>
                <w:sz w:val="13"/>
                <w:szCs w:val="13"/>
                <w:color w:val="auto"/>
              </w:rPr>
            </w:pPr>
          </w:p>
        </w:tc>
        <w:tc>
          <w:tcPr>
            <w:tcW w:w="8820" w:type="dxa"/>
            <w:vAlign w:val="bottom"/>
            <w:tcBorders>
              <w:top w:val="single" w:sz="8" w:color="0000FF"/>
            </w:tcBorders>
            <w:gridSpan w:val="20"/>
          </w:tcPr>
          <w:p>
            <w:pPr>
              <w:spacing w:after="0" w:line="152" w:lineRule="exact"/>
              <w:rPr>
                <w:rFonts w:ascii="Times New Roman" w:cs="Times New Roman" w:eastAsia="Times New Roman" w:hAnsi="Times New Roman"/>
                <w:sz w:val="16"/>
                <w:szCs w:val="16"/>
                <w:color w:val="0000FF"/>
              </w:rPr>
            </w:pPr>
            <w:hyperlink r:id="rId234">
              <w:r>
                <w:rPr>
                  <w:rFonts w:ascii="Times New Roman" w:cs="Times New Roman" w:eastAsia="Times New Roman" w:hAnsi="Times New Roman"/>
                  <w:sz w:val="16"/>
                  <w:szCs w:val="16"/>
                  <w:color w:val="0000FF"/>
                </w:rPr>
                <w:t>Cole, Jr., filed as exhibit 10.1 to the Form 8-K of the Company filed with the Commission on April 4, 2025 and</w:t>
              </w:r>
            </w:hyperlink>
          </w:p>
        </w:tc>
        <w:tc>
          <w:tcPr>
            <w:tcW w:w="260" w:type="dxa"/>
            <w:vAlign w:val="bottom"/>
            <w:gridSpan w:val="13"/>
          </w:tcPr>
          <w:p>
            <w:pPr>
              <w:spacing w:after="0"/>
              <w:rPr>
                <w:sz w:val="13"/>
                <w:szCs w:val="13"/>
                <w:color w:val="auto"/>
              </w:rPr>
            </w:pPr>
          </w:p>
        </w:tc>
      </w:tr>
      <w:tr>
        <w:trPr>
          <w:trHeight w:val="164"/>
        </w:trPr>
        <w:tc>
          <w:tcPr>
            <w:tcW w:w="1040" w:type="dxa"/>
            <w:vAlign w:val="bottom"/>
          </w:tcPr>
          <w:p>
            <w:pPr>
              <w:spacing w:after="0"/>
              <w:rPr>
                <w:sz w:val="14"/>
                <w:szCs w:val="14"/>
                <w:color w:val="auto"/>
              </w:rPr>
            </w:pPr>
          </w:p>
        </w:tc>
        <w:tc>
          <w:tcPr>
            <w:tcW w:w="8720" w:type="dxa"/>
            <w:vAlign w:val="bottom"/>
            <w:tcBorders>
              <w:top w:val="single" w:sz="8" w:color="0000FF"/>
            </w:tcBorders>
            <w:gridSpan w:val="15"/>
          </w:tcPr>
          <w:p>
            <w:pPr>
              <w:spacing w:after="0" w:line="164"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incorporated herein by reference.*</w:t>
              </w:r>
            </w:hyperlink>
          </w:p>
        </w:tc>
        <w:tc>
          <w:tcPr>
            <w:tcW w:w="360" w:type="dxa"/>
            <w:vAlign w:val="bottom"/>
            <w:gridSpan w:val="18"/>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2400" w:type="dxa"/>
            <w:vAlign w:val="bottom"/>
            <w:gridSpan w:val="4"/>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60" w:type="dxa"/>
            <w:vAlign w:val="bottom"/>
            <w:gridSpan w:val="6"/>
          </w:tcPr>
          <w:p>
            <w:pPr>
              <w:spacing w:after="0" w:line="20" w:lineRule="exact"/>
              <w:rPr>
                <w:sz w:val="1"/>
                <w:szCs w:val="1"/>
                <w:color w:val="auto"/>
              </w:rPr>
            </w:pPr>
          </w:p>
        </w:tc>
        <w:tc>
          <w:tcPr>
            <w:tcW w:w="440" w:type="dxa"/>
            <w:vAlign w:val="bottom"/>
            <w:gridSpan w:val="22"/>
          </w:tcPr>
          <w:p>
            <w:pPr>
              <w:spacing w:after="0" w:line="20" w:lineRule="exact"/>
              <w:rPr>
                <w:sz w:val="1"/>
                <w:szCs w:val="1"/>
                <w:color w:val="auto"/>
              </w:rPr>
            </w:pPr>
          </w:p>
        </w:tc>
      </w:tr>
      <w:tr>
        <w:trPr>
          <w:trHeight w:val="256"/>
        </w:trPr>
        <w:tc>
          <w:tcPr>
            <w:tcW w:w="104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6"/>
              </w:rPr>
              <w:t>(10)(xxxii)</w:t>
            </w:r>
          </w:p>
        </w:tc>
        <w:tc>
          <w:tcPr>
            <w:tcW w:w="908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Executive Employment Agreement dated as of September 1, 2017 by and between Renasant Corporation and Mark W.</w:t>
            </w:r>
          </w:p>
        </w:tc>
      </w:tr>
      <w:tr>
        <w:trPr>
          <w:trHeight w:val="151"/>
        </w:trPr>
        <w:tc>
          <w:tcPr>
            <w:tcW w:w="1040" w:type="dxa"/>
            <w:vAlign w:val="bottom"/>
          </w:tcPr>
          <w:p>
            <w:pPr>
              <w:spacing w:after="0"/>
              <w:rPr>
                <w:sz w:val="13"/>
                <w:szCs w:val="13"/>
                <w:color w:val="auto"/>
              </w:rPr>
            </w:pPr>
          </w:p>
        </w:tc>
        <w:tc>
          <w:tcPr>
            <w:tcW w:w="2780" w:type="dxa"/>
            <w:vAlign w:val="bottom"/>
            <w:tcBorders>
              <w:top w:val="single" w:sz="8" w:color="0000FF"/>
              <w:bottom w:val="single" w:sz="8" w:color="0000FF"/>
            </w:tcBorders>
            <w:gridSpan w:val="5"/>
          </w:tcPr>
          <w:p>
            <w:pPr>
              <w:spacing w:after="0" w:line="152" w:lineRule="exact"/>
              <w:rPr>
                <w:sz w:val="20"/>
                <w:szCs w:val="20"/>
                <w:color w:val="auto"/>
              </w:rPr>
            </w:pPr>
            <w:r>
              <w:rPr>
                <w:rFonts w:ascii="Times New Roman" w:cs="Times New Roman" w:eastAsia="Times New Roman" w:hAnsi="Times New Roman"/>
                <w:sz w:val="16"/>
                <w:szCs w:val="16"/>
                <w:color w:val="0000FF"/>
              </w:rPr>
              <w:t>Jeanfreau, as amended, filed herewith.*</w:t>
            </w:r>
          </w:p>
        </w:tc>
        <w:tc>
          <w:tcPr>
            <w:tcW w:w="5860" w:type="dxa"/>
            <w:vAlign w:val="bottom"/>
            <w:tcBorders>
              <w:top w:val="single" w:sz="8" w:color="0000FF"/>
            </w:tcBorders>
            <w:gridSpan w:val="6"/>
          </w:tcPr>
          <w:p>
            <w:pPr>
              <w:spacing w:after="0"/>
              <w:rPr>
                <w:sz w:val="13"/>
                <w:szCs w:val="13"/>
                <w:color w:val="auto"/>
              </w:rPr>
            </w:pPr>
          </w:p>
        </w:tc>
        <w:tc>
          <w:tcPr>
            <w:tcW w:w="440" w:type="dxa"/>
            <w:vAlign w:val="bottom"/>
            <w:gridSpan w:val="22"/>
          </w:tcPr>
          <w:p>
            <w:pPr>
              <w:spacing w:after="0"/>
              <w:rPr>
                <w:sz w:val="13"/>
                <w:szCs w:val="13"/>
                <w:color w:val="auto"/>
              </w:rPr>
            </w:pPr>
          </w:p>
        </w:tc>
      </w:tr>
    </w:tbl>
    <w:p>
      <w:pPr>
        <w:spacing w:after="0" w:line="87" w:lineRule="exact"/>
        <w:rPr>
          <w:sz w:val="20"/>
          <w:szCs w:val="20"/>
          <w:color w:val="auto"/>
        </w:rPr>
      </w:pPr>
    </w:p>
    <w:p>
      <w:pPr>
        <w:ind w:left="1040" w:right="339" w:hanging="781"/>
        <w:spacing w:after="0" w:line="231" w:lineRule="auto"/>
        <w:tabs>
          <w:tab w:leader="none" w:pos="1040" w:val="left"/>
        </w:tabs>
        <w:numPr>
          <w:ilvl w:val="0"/>
          <w:numId w:val="52"/>
        </w:numPr>
        <w:rPr>
          <w:rFonts w:ascii="Times New Roman" w:cs="Times New Roman" w:eastAsia="Times New Roman" w:hAnsi="Times New Roman"/>
          <w:sz w:val="18"/>
          <w:szCs w:val="18"/>
          <w:u w:val="single" w:color="auto"/>
          <w:color w:val="0000FF"/>
        </w:rPr>
      </w:pPr>
      <w:hyperlink r:id="rId235">
        <w:r>
          <w:rPr>
            <w:rFonts w:ascii="Times New Roman" w:cs="Times New Roman" w:eastAsia="Times New Roman" w:hAnsi="Times New Roman"/>
            <w:sz w:val="18"/>
            <w:szCs w:val="18"/>
            <w:u w:val="single" w:color="auto"/>
            <w:color w:val="0000FF"/>
          </w:rPr>
          <w:t>Letter from HORNE, LLP dated November 3, 2025, filed as exhibit 16 to the Form 8-K of the Company filed with the</w:t>
        </w:r>
      </w:hyperlink>
      <w:r>
        <w:rPr>
          <w:rFonts w:ascii="Times New Roman" w:cs="Times New Roman" w:eastAsia="Times New Roman" w:hAnsi="Times New Roman"/>
          <w:sz w:val="18"/>
          <w:szCs w:val="18"/>
          <w:u w:val="single" w:color="auto"/>
          <w:color w:val="0000FF"/>
        </w:rPr>
        <w:t xml:space="preserve"> </w:t>
      </w:r>
      <w:hyperlink r:id="rId235">
        <w:r>
          <w:rPr>
            <w:rFonts w:ascii="Times New Roman" w:cs="Times New Roman" w:eastAsia="Times New Roman" w:hAnsi="Times New Roman"/>
            <w:sz w:val="18"/>
            <w:szCs w:val="18"/>
            <w:u w:val="single" w:color="auto"/>
            <w:color w:val="0000FF"/>
          </w:rPr>
          <w:t>Commission on November 1, 2025 and incorporated herein by reference.*</w:t>
        </w:r>
      </w:hyperlink>
    </w:p>
    <w:p>
      <w:pPr>
        <w:spacing w:after="0" w:line="62" w:lineRule="exact"/>
        <w:rPr>
          <w:rFonts w:ascii="Times New Roman" w:cs="Times New Roman" w:eastAsia="Times New Roman" w:hAnsi="Times New Roman"/>
          <w:sz w:val="18"/>
          <w:szCs w:val="18"/>
          <w:color w:val="auto"/>
        </w:rPr>
      </w:pPr>
    </w:p>
    <w:p>
      <w:pPr>
        <w:ind w:left="1040" w:right="339" w:hanging="781"/>
        <w:spacing w:after="0" w:line="231" w:lineRule="auto"/>
        <w:tabs>
          <w:tab w:leader="none" w:pos="1040" w:val="left"/>
        </w:tabs>
        <w:numPr>
          <w:ilvl w:val="0"/>
          <w:numId w:val="53"/>
        </w:numPr>
        <w:rPr>
          <w:rFonts w:ascii="Times New Roman" w:cs="Times New Roman" w:eastAsia="Times New Roman" w:hAnsi="Times New Roman"/>
          <w:sz w:val="18"/>
          <w:szCs w:val="18"/>
          <w:u w:val="single" w:color="auto"/>
          <w:color w:val="0000FF"/>
        </w:rPr>
      </w:pPr>
      <w:hyperlink r:id="rId236">
        <w:r>
          <w:rPr>
            <w:rFonts w:ascii="Times New Roman" w:cs="Times New Roman" w:eastAsia="Times New Roman" w:hAnsi="Times New Roman"/>
            <w:sz w:val="18"/>
            <w:szCs w:val="18"/>
            <w:u w:val="single" w:color="auto"/>
            <w:color w:val="0000FF"/>
          </w:rPr>
          <w:t>Renasant Corporation Insider Trading Policy, filed as exhibit to the Form 10-K of the Company filed with the Commission</w:t>
        </w:r>
      </w:hyperlink>
      <w:r>
        <w:rPr>
          <w:rFonts w:ascii="Times New Roman" w:cs="Times New Roman" w:eastAsia="Times New Roman" w:hAnsi="Times New Roman"/>
          <w:sz w:val="18"/>
          <w:szCs w:val="18"/>
          <w:u w:val="single" w:color="auto"/>
          <w:color w:val="0000FF"/>
        </w:rPr>
        <w:t xml:space="preserve"> </w:t>
      </w:r>
      <w:hyperlink r:id="rId236">
        <w:r>
          <w:rPr>
            <w:rFonts w:ascii="Times New Roman" w:cs="Times New Roman" w:eastAsia="Times New Roman" w:hAnsi="Times New Roman"/>
            <w:sz w:val="18"/>
            <w:szCs w:val="18"/>
            <w:u w:val="single" w:color="auto"/>
            <w:color w:val="0000FF"/>
          </w:rPr>
          <w:t>on February 26, 2025 and incorporated herein by reference.</w:t>
        </w:r>
      </w:hyperlink>
    </w:p>
    <w:p>
      <w:pPr>
        <w:spacing w:after="0" w:line="62" w:lineRule="exact"/>
        <w:rPr>
          <w:rFonts w:ascii="Times New Roman" w:cs="Times New Roman" w:eastAsia="Times New Roman" w:hAnsi="Times New Roman"/>
          <w:sz w:val="18"/>
          <w:szCs w:val="18"/>
          <w:color w:val="auto"/>
        </w:rPr>
      </w:pPr>
    </w:p>
    <w:p>
      <w:pPr>
        <w:ind w:left="1040" w:hanging="781"/>
        <w:spacing w:after="0"/>
        <w:tabs>
          <w:tab w:leader="none" w:pos="1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Subsidiaries of the Company</w:t>
      </w:r>
    </w:p>
    <w:p>
      <w:pPr>
        <w:spacing w:after="0" w:line="69" w:lineRule="exact"/>
        <w:rPr>
          <w:rFonts w:ascii="Times New Roman" w:cs="Times New Roman" w:eastAsia="Times New Roman" w:hAnsi="Times New Roman"/>
          <w:sz w:val="18"/>
          <w:szCs w:val="18"/>
          <w:color w:val="auto"/>
        </w:rPr>
      </w:pPr>
    </w:p>
    <w:p>
      <w:pPr>
        <w:ind w:left="1040" w:hanging="781"/>
        <w:spacing w:after="0"/>
        <w:tabs>
          <w:tab w:leader="none" w:pos="10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Consent of Independent Registered Public Accounting Firm</w:t>
      </w:r>
    </w:p>
    <w:p>
      <w:pPr>
        <w:spacing w:after="0" w:line="69" w:lineRule="exact"/>
        <w:rPr>
          <w:rFonts w:ascii="Times New Roman" w:cs="Times New Roman" w:eastAsia="Times New Roman" w:hAnsi="Times New Roman"/>
          <w:sz w:val="18"/>
          <w:szCs w:val="18"/>
          <w:color w:val="auto"/>
        </w:rPr>
      </w:pPr>
    </w:p>
    <w:p>
      <w:pPr>
        <w:ind w:left="180"/>
        <w:spacing w:after="0"/>
        <w:tabs>
          <w:tab w:leader="none" w:pos="1020" w:val="left"/>
        </w:tabs>
        <w:rPr>
          <w:sz w:val="20"/>
          <w:szCs w:val="20"/>
          <w:color w:val="auto"/>
        </w:rPr>
      </w:pPr>
      <w:r>
        <w:rPr>
          <w:rFonts w:ascii="Times New Roman" w:cs="Times New Roman" w:eastAsia="Times New Roman" w:hAnsi="Times New Roman"/>
          <w:sz w:val="18"/>
          <w:szCs w:val="18"/>
          <w:color w:val="auto"/>
        </w:rPr>
        <w:t>(31)(i)</w:t>
      </w:r>
      <w:r>
        <w:rPr>
          <w:sz w:val="20"/>
          <w:szCs w:val="20"/>
          <w:color w:val="auto"/>
        </w:rPr>
        <w:tab/>
      </w:r>
      <w:r>
        <w:rPr>
          <w:rFonts w:ascii="Times New Roman" w:cs="Times New Roman" w:eastAsia="Times New Roman" w:hAnsi="Times New Roman"/>
          <w:sz w:val="16"/>
          <w:szCs w:val="16"/>
          <w:u w:val="single" w:color="auto"/>
          <w:color w:val="0000FF"/>
        </w:rPr>
        <w:t>Certification of the Principal Executive Officer, as required pursuant to Section 302 of the Sarbanes-Oxley Act of 2002.</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6" w:lineRule="exact"/>
        <w:rPr>
          <w:rFonts w:ascii="Times New Roman" w:cs="Times New Roman" w:eastAsia="Times New Roman" w:hAnsi="Times New Roman"/>
          <w:sz w:val="18"/>
          <w:szCs w:val="18"/>
          <w:color w:val="auto"/>
        </w:rPr>
      </w:pPr>
    </w:p>
    <w:p>
      <w:pPr>
        <w:ind w:left="5380"/>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-85090</wp:posOffset>
            </wp:positionH>
            <wp:positionV relativeFrom="paragraph">
              <wp:posOffset>67945</wp:posOffset>
            </wp:positionV>
            <wp:extent cx="7160895"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019"/>
          </w:cols>
          <w:pgMar w:left="440" w:top="893" w:right="1440" w:bottom="1440" w:gutter="0" w:footer="0" w:header="0"/>
        </w:sectPr>
      </w:pPr>
    </w:p>
    <w:bookmarkStart w:id="156" w:name="page157"/>
    <w:bookmarkEnd w:id="156"/>
    <w:p>
      <w:pPr>
        <w:ind w:left="280"/>
        <w:spacing w:after="0"/>
        <w:tabs>
          <w:tab w:leader="none" w:pos="1140" w:val="left"/>
        </w:tabs>
        <w:rPr>
          <w:sz w:val="20"/>
          <w:szCs w:val="20"/>
          <w:color w:val="auto"/>
        </w:rPr>
      </w:pPr>
      <w:r>
        <w:rPr>
          <w:rFonts w:ascii="Times New Roman" w:cs="Times New Roman" w:eastAsia="Times New Roman" w:hAnsi="Times New Roman"/>
          <w:sz w:val="18"/>
          <w:szCs w:val="18"/>
          <w:color w:val="auto"/>
        </w:rPr>
        <w:t>(31)(ii)</w:t>
      </w:r>
      <w:r>
        <w:rPr>
          <w:sz w:val="20"/>
          <w:szCs w:val="20"/>
          <w:color w:val="auto"/>
        </w:rPr>
        <w:tab/>
      </w:r>
      <w:r>
        <w:rPr>
          <w:rFonts w:ascii="Times New Roman" w:cs="Times New Roman" w:eastAsia="Times New Roman" w:hAnsi="Times New Roman"/>
          <w:sz w:val="16"/>
          <w:szCs w:val="16"/>
          <w:u w:val="single" w:color="auto"/>
          <w:color w:val="0000FF"/>
        </w:rPr>
        <w:t>Certification of the Principal Financial Officer, as required pursuant to Section 302 of the Sarbanes-Oxley Act of 2002.</w:t>
      </w:r>
    </w:p>
    <w:p>
      <w:pPr>
        <w:spacing w:after="0" w:line="69" w:lineRule="exact"/>
        <w:rPr>
          <w:sz w:val="20"/>
          <w:szCs w:val="20"/>
          <w:color w:val="auto"/>
        </w:rPr>
      </w:pPr>
    </w:p>
    <w:p>
      <w:pPr>
        <w:ind w:left="300"/>
        <w:spacing w:after="0"/>
        <w:tabs>
          <w:tab w:leader="none" w:pos="1140" w:val="left"/>
        </w:tabs>
        <w:rPr>
          <w:sz w:val="20"/>
          <w:szCs w:val="20"/>
          <w:color w:val="auto"/>
        </w:rPr>
      </w:pPr>
      <w:r>
        <w:rPr>
          <w:rFonts w:ascii="Times New Roman" w:cs="Times New Roman" w:eastAsia="Times New Roman" w:hAnsi="Times New Roman"/>
          <w:sz w:val="18"/>
          <w:szCs w:val="18"/>
          <w:color w:val="auto"/>
        </w:rPr>
        <w:t>(32)(i)</w:t>
      </w:r>
      <w:r>
        <w:rPr>
          <w:sz w:val="20"/>
          <w:szCs w:val="20"/>
          <w:color w:val="auto"/>
        </w:rPr>
        <w:tab/>
      </w:r>
      <w:r>
        <w:rPr>
          <w:rFonts w:ascii="Times New Roman" w:cs="Times New Roman" w:eastAsia="Times New Roman" w:hAnsi="Times New Roman"/>
          <w:sz w:val="16"/>
          <w:szCs w:val="16"/>
          <w:u w:val="single" w:color="auto"/>
          <w:color w:val="0000FF"/>
        </w:rPr>
        <w:t>Certification of the Principal Executive Officer, as required pursuant to Section 906 of the Sarbanes-Oxley Act of 2002.</w:t>
      </w:r>
    </w:p>
    <w:p>
      <w:pPr>
        <w:spacing w:after="0" w:line="69" w:lineRule="exact"/>
        <w:rPr>
          <w:sz w:val="20"/>
          <w:szCs w:val="20"/>
          <w:color w:val="auto"/>
        </w:rPr>
      </w:pPr>
    </w:p>
    <w:p>
      <w:pPr>
        <w:ind w:left="280"/>
        <w:spacing w:after="0"/>
        <w:tabs>
          <w:tab w:leader="none" w:pos="1140" w:val="left"/>
        </w:tabs>
        <w:rPr>
          <w:sz w:val="20"/>
          <w:szCs w:val="20"/>
          <w:color w:val="auto"/>
        </w:rPr>
      </w:pPr>
      <w:r>
        <w:rPr>
          <w:rFonts w:ascii="Times New Roman" w:cs="Times New Roman" w:eastAsia="Times New Roman" w:hAnsi="Times New Roman"/>
          <w:sz w:val="18"/>
          <w:szCs w:val="18"/>
          <w:color w:val="auto"/>
        </w:rPr>
        <w:t>(32)(ii)</w:t>
      </w:r>
      <w:r>
        <w:rPr>
          <w:sz w:val="20"/>
          <w:szCs w:val="20"/>
          <w:color w:val="auto"/>
        </w:rPr>
        <w:tab/>
      </w:r>
      <w:r>
        <w:rPr>
          <w:rFonts w:ascii="Times New Roman" w:cs="Times New Roman" w:eastAsia="Times New Roman" w:hAnsi="Times New Roman"/>
          <w:sz w:val="16"/>
          <w:szCs w:val="16"/>
          <w:u w:val="single" w:color="auto"/>
          <w:color w:val="0000FF"/>
        </w:rPr>
        <w:t>Certification of the Principal Financial Officer, as required pursuant to Section 906 of the Sarbanes-Oxley Act of 2002.</w:t>
      </w:r>
    </w:p>
    <w:p>
      <w:pPr>
        <w:spacing w:after="0" w:line="69" w:lineRule="exact"/>
        <w:rPr>
          <w:sz w:val="20"/>
          <w:szCs w:val="20"/>
          <w:color w:val="auto"/>
        </w:rPr>
      </w:pPr>
    </w:p>
    <w:p>
      <w:pPr>
        <w:ind w:left="1160" w:right="1440" w:hanging="781"/>
        <w:spacing w:after="0" w:line="231" w:lineRule="auto"/>
        <w:tabs>
          <w:tab w:leader="none" w:pos="1160" w:val="left"/>
        </w:tabs>
        <w:numPr>
          <w:ilvl w:val="0"/>
          <w:numId w:val="56"/>
        </w:numPr>
        <w:rPr>
          <w:rFonts w:ascii="Times New Roman" w:cs="Times New Roman" w:eastAsia="Times New Roman" w:hAnsi="Times New Roman"/>
          <w:sz w:val="18"/>
          <w:szCs w:val="18"/>
          <w:u w:val="single" w:color="auto"/>
          <w:color w:val="0000FF"/>
        </w:rPr>
      </w:pPr>
      <w:hyperlink r:id="rId238">
        <w:r>
          <w:rPr>
            <w:rFonts w:ascii="Times New Roman" w:cs="Times New Roman" w:eastAsia="Times New Roman" w:hAnsi="Times New Roman"/>
            <w:sz w:val="18"/>
            <w:szCs w:val="18"/>
            <w:u w:val="single" w:color="auto"/>
            <w:color w:val="0000FF"/>
          </w:rPr>
          <w:t>Renasant Corporation Clawback Policy, filed as exhibit 97 to the Form 10-K of the Company filed with the Commission</w:t>
        </w:r>
      </w:hyperlink>
      <w:r>
        <w:rPr>
          <w:rFonts w:ascii="Times New Roman" w:cs="Times New Roman" w:eastAsia="Times New Roman" w:hAnsi="Times New Roman"/>
          <w:sz w:val="18"/>
          <w:szCs w:val="18"/>
          <w:u w:val="single" w:color="auto"/>
          <w:color w:val="0000FF"/>
        </w:rPr>
        <w:t xml:space="preserve"> </w:t>
      </w:r>
      <w:hyperlink r:id="rId238">
        <w:r>
          <w:rPr>
            <w:rFonts w:ascii="Times New Roman" w:cs="Times New Roman" w:eastAsia="Times New Roman" w:hAnsi="Times New Roman"/>
            <w:sz w:val="18"/>
            <w:szCs w:val="18"/>
            <w:u w:val="single" w:color="auto"/>
            <w:color w:val="0000FF"/>
          </w:rPr>
          <w:t>on February 26, 2025 and incorporated herein by reference.</w:t>
        </w:r>
      </w:hyperlink>
    </w:p>
    <w:p>
      <w:pPr>
        <w:spacing w:after="0" w:line="62" w:lineRule="exact"/>
        <w:rPr>
          <w:rFonts w:ascii="Times New Roman" w:cs="Times New Roman" w:eastAsia="Times New Roman" w:hAnsi="Times New Roman"/>
          <w:sz w:val="18"/>
          <w:szCs w:val="18"/>
          <w:color w:val="auto"/>
        </w:rPr>
      </w:pPr>
    </w:p>
    <w:p>
      <w:pPr>
        <w:jc w:val="both"/>
        <w:ind w:left="1160" w:right="1440" w:hanging="825"/>
        <w:spacing w:after="0" w:line="212" w:lineRule="auto"/>
        <w:tabs>
          <w:tab w:leader="none" w:pos="11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Renasant Corporation’s Annual Report on Form 10-K for the year ended December 31, 2025 were formatted in Inline XBRL (eXtensible Business Reporting Language): (i) Consolidated Balance Sheets as of December 31, 2025 and December 31, 2024, (ii) Consolidated Statements of Income for the years ended December 31, 2025, 2024 and 2023, (iii) Consolidated Statements of Comprehensive Income for the years ended December 31, 2025, 2024 and 2023, (iv) Consolidated Statements of Changes in Shareholders’ Equity for the years ended December 31, 2025, 2024 and 2023, (v) Consolidated Statements of Cash Flows for the years ended December 31, 2025, 2024 and 2023 and (vi) Notes to Consolidated Financial Statements.</w:t>
      </w:r>
    </w:p>
    <w:p>
      <w:pPr>
        <w:spacing w:after="0" w:line="49" w:lineRule="exact"/>
        <w:rPr>
          <w:rFonts w:ascii="Times New Roman" w:cs="Times New Roman" w:eastAsia="Times New Roman" w:hAnsi="Times New Roman"/>
          <w:sz w:val="18"/>
          <w:szCs w:val="18"/>
          <w:color w:val="auto"/>
        </w:rPr>
      </w:pPr>
    </w:p>
    <w:p>
      <w:pPr>
        <w:ind w:left="1160" w:right="1480" w:hanging="825"/>
        <w:spacing w:after="0" w:line="231" w:lineRule="auto"/>
        <w:tabs>
          <w:tab w:leader="none" w:pos="11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of Renasant Corporation’s Annual Report on Form 10-K for the year ended December 31, 2025, formatted in Inline XBRL (included in Exhibit 101).</w:t>
      </w:r>
    </w:p>
    <w:p>
      <w:pPr>
        <w:spacing w:after="0" w:line="285" w:lineRule="exact"/>
        <w:rPr>
          <w:rFonts w:ascii="Times New Roman" w:cs="Times New Roman" w:eastAsia="Times New Roman" w:hAnsi="Times New Roman"/>
          <w:sz w:val="18"/>
          <w:szCs w:val="18"/>
          <w:color w:val="auto"/>
        </w:rPr>
      </w:pPr>
    </w:p>
    <w:p>
      <w:pPr>
        <w:ind w:left="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Management contract or compensatory plan or arrangement required to be filed as an exhibit to this Form 10-K pursuant to Item 15(b) of Form 10-K.</w:t>
      </w:r>
    </w:p>
    <w:p>
      <w:pPr>
        <w:spacing w:after="0" w:line="240" w:lineRule="exact"/>
        <w:rPr>
          <w:rFonts w:ascii="Times New Roman" w:cs="Times New Roman" w:eastAsia="Times New Roman" w:hAnsi="Times New Roman"/>
          <w:sz w:val="18"/>
          <w:szCs w:val="18"/>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does not have any long-term debt instruments under which securities are authorized exceeding ten percent of the total assets of the Company and its subsidiaries on a consolidated basis. The Company will furnish to the Securities and Exchange Commission, upon its request, a copy of all long-term debt instruments not filed herewith.</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139"/>
          </w:cols>
          <w:pgMar w:left="320" w:top="869" w:right="1440" w:bottom="1440" w:gutter="0" w:footer="0" w:header="0"/>
        </w:sectPr>
      </w:pPr>
    </w:p>
    <w:bookmarkStart w:id="158" w:name="page159"/>
    <w:bookmarkEnd w:id="15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3" w:lineRule="exact"/>
        <w:rPr>
          <w:sz w:val="20"/>
          <w:szCs w:val="20"/>
          <w:color w:val="auto"/>
        </w:rPr>
      </w:pPr>
    </w:p>
    <w:p>
      <w:pPr>
        <w:ind w:firstLine="750"/>
        <w:spacing w:after="0" w:line="268"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6" w:lineRule="exact"/>
        <w:rPr>
          <w:sz w:val="20"/>
          <w:szCs w:val="20"/>
          <w:color w:val="auto"/>
        </w:rPr>
      </w:pPr>
    </w:p>
    <w:tbl>
      <w:tblPr>
        <w:tblLayout w:type="fixed"/>
        <w:tblInd w:w="780" w:type="dxa"/>
        <w:tblCellMar>
          <w:top w:w="0" w:type="dxa"/>
          <w:left w:w="0" w:type="dxa"/>
          <w:bottom w:w="0" w:type="dxa"/>
          <w:right w:w="0" w:type="dxa"/>
        </w:tblCellMar>
      </w:tblPr>
      <w:tr>
        <w:trPr>
          <w:trHeight w:val="228"/>
        </w:trPr>
        <w:tc>
          <w:tcPr>
            <w:tcW w:w="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20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RENASANT CORPORATION</w:t>
            </w:r>
          </w:p>
        </w:tc>
      </w:tr>
      <w:tr>
        <w:trPr>
          <w:trHeight w:val="448"/>
        </w:trPr>
        <w:tc>
          <w:tcPr>
            <w:tcW w:w="3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March 2, 2026</w:t>
            </w:r>
          </w:p>
        </w:tc>
        <w:tc>
          <w:tcPr>
            <w:tcW w:w="196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 Kevin D. Chapman</w:t>
            </w:r>
          </w:p>
        </w:tc>
      </w:tr>
      <w:tr>
        <w:trPr>
          <w:trHeight w:val="20"/>
        </w:trPr>
        <w:tc>
          <w:tcPr>
            <w:tcW w:w="60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r>
      <w:tr>
        <w:trPr>
          <w:trHeight w:val="211"/>
        </w:trPr>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Kevin D. Chapman</w:t>
            </w:r>
          </w:p>
        </w:tc>
      </w:tr>
      <w:tr>
        <w:trPr>
          <w:trHeight w:val="228"/>
        </w:trPr>
        <w:tc>
          <w:tcPr>
            <w:tcW w:w="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59" w:lineRule="exact"/>
        <w:rPr>
          <w:sz w:val="20"/>
          <w:szCs w:val="20"/>
          <w:color w:val="auto"/>
        </w:rPr>
      </w:pPr>
    </w:p>
    <w:p>
      <w:pPr>
        <w:ind w:left="780" w:right="300"/>
        <w:spacing w:after="0" w:line="23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273" w:lineRule="exact"/>
        <w:rPr>
          <w:sz w:val="20"/>
          <w:szCs w:val="20"/>
          <w:color w:val="auto"/>
        </w:rPr>
      </w:pPr>
    </w:p>
    <w:tbl>
      <w:tblPr>
        <w:tblLayout w:type="fixed"/>
        <w:tblInd w:w="780" w:type="dxa"/>
        <w:tblCellMar>
          <w:top w:w="0" w:type="dxa"/>
          <w:left w:w="0" w:type="dxa"/>
          <w:bottom w:w="0" w:type="dxa"/>
          <w:right w:w="0" w:type="dxa"/>
        </w:tblCellMar>
      </w:tblPr>
      <w:tr>
        <w:trPr>
          <w:trHeight w:val="241"/>
        </w:trPr>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92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 James C. Mabry IV</w:t>
            </w:r>
          </w:p>
        </w:tc>
      </w:tr>
      <w:tr>
        <w:trPr>
          <w:trHeight w:val="2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7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March 2, 2026</w:t>
            </w:r>
          </w:p>
        </w:tc>
        <w:tc>
          <w:tcPr>
            <w:tcW w:w="1920" w:type="dxa"/>
            <w:vAlign w:val="bottom"/>
          </w:tcPr>
          <w:p>
            <w:pPr>
              <w:spacing w:after="0"/>
              <w:rPr>
                <w:sz w:val="19"/>
                <w:szCs w:val="19"/>
                <w:color w:val="auto"/>
              </w:rPr>
            </w:pPr>
          </w:p>
        </w:tc>
        <w:tc>
          <w:tcPr>
            <w:tcW w:w="4240" w:type="dxa"/>
            <w:vAlign w:val="bottom"/>
          </w:tcPr>
          <w:p>
            <w:pPr>
              <w:spacing w:after="0"/>
              <w:rPr>
                <w:sz w:val="19"/>
                <w:szCs w:val="19"/>
                <w:color w:val="auto"/>
              </w:rPr>
            </w:pPr>
          </w:p>
        </w:tc>
      </w:tr>
      <w:tr>
        <w:trPr>
          <w:trHeight w:val="20"/>
        </w:trPr>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r>
      <w:tr>
        <w:trPr>
          <w:trHeight w:val="211"/>
        </w:trPr>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James C. Mabry IV</w:t>
            </w:r>
          </w:p>
        </w:tc>
      </w:tr>
      <w:tr>
        <w:trPr>
          <w:trHeight w:val="224"/>
        </w:trPr>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8"/>
        </w:trPr>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500"/>
        </w:trPr>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92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 Kelly W. Hutcheson</w:t>
            </w:r>
          </w:p>
        </w:tc>
      </w:tr>
      <w:tr>
        <w:trPr>
          <w:trHeight w:val="2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7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March 2, 2026</w:t>
            </w:r>
          </w:p>
        </w:tc>
        <w:tc>
          <w:tcPr>
            <w:tcW w:w="1920" w:type="dxa"/>
            <w:vAlign w:val="bottom"/>
          </w:tcPr>
          <w:p>
            <w:pPr>
              <w:spacing w:after="0"/>
              <w:rPr>
                <w:sz w:val="19"/>
                <w:szCs w:val="19"/>
                <w:color w:val="auto"/>
              </w:rPr>
            </w:pPr>
          </w:p>
        </w:tc>
        <w:tc>
          <w:tcPr>
            <w:tcW w:w="4240" w:type="dxa"/>
            <w:vAlign w:val="bottom"/>
          </w:tcPr>
          <w:p>
            <w:pPr>
              <w:spacing w:after="0"/>
              <w:rPr>
                <w:sz w:val="19"/>
                <w:szCs w:val="19"/>
                <w:color w:val="auto"/>
              </w:rPr>
            </w:pPr>
          </w:p>
        </w:tc>
      </w:tr>
      <w:tr>
        <w:trPr>
          <w:trHeight w:val="20"/>
        </w:trPr>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r>
      <w:tr>
        <w:trPr>
          <w:trHeight w:val="211"/>
        </w:trPr>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Kelly W. Hutcheson</w:t>
            </w:r>
          </w:p>
        </w:tc>
      </w:tr>
      <w:tr>
        <w:trPr>
          <w:trHeight w:val="224"/>
        </w:trPr>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28"/>
        </w:trPr>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448"/>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7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March 2, 2026</w:t>
            </w:r>
          </w:p>
        </w:tc>
        <w:tc>
          <w:tcPr>
            <w:tcW w:w="192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 Gary D. Butler</w:t>
            </w:r>
          </w:p>
        </w:tc>
      </w:tr>
      <w:tr>
        <w:trPr>
          <w:trHeight w:val="20"/>
        </w:trPr>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r>
      <w:tr>
        <w:trPr>
          <w:trHeight w:val="211"/>
        </w:trPr>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Gary D. Butler</w:t>
            </w:r>
          </w:p>
        </w:tc>
      </w:tr>
      <w:tr>
        <w:trPr>
          <w:trHeight w:val="228"/>
        </w:trPr>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Director</w:t>
            </w:r>
          </w:p>
        </w:tc>
      </w:tr>
      <w:tr>
        <w:trPr>
          <w:trHeight w:val="435"/>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7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March 2, 2026</w:t>
            </w:r>
          </w:p>
        </w:tc>
        <w:tc>
          <w:tcPr>
            <w:tcW w:w="192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 Donald Clark, Jr.</w:t>
            </w:r>
          </w:p>
        </w:tc>
      </w:tr>
      <w:tr>
        <w:trPr>
          <w:trHeight w:val="20"/>
        </w:trPr>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r>
      <w:tr>
        <w:trPr>
          <w:trHeight w:val="211"/>
        </w:trPr>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Donald Clark, Jr.</w:t>
            </w:r>
          </w:p>
        </w:tc>
      </w:tr>
      <w:tr>
        <w:trPr>
          <w:trHeight w:val="228"/>
        </w:trPr>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Director</w:t>
            </w:r>
          </w:p>
        </w:tc>
      </w:tr>
      <w:tr>
        <w:trPr>
          <w:trHeight w:val="435"/>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7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March 02, 2026</w:t>
            </w:r>
          </w:p>
        </w:tc>
        <w:tc>
          <w:tcPr>
            <w:tcW w:w="192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 Kevin D. Chapman</w:t>
            </w:r>
          </w:p>
        </w:tc>
      </w:tr>
      <w:tr>
        <w:trPr>
          <w:trHeight w:val="20"/>
        </w:trPr>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r>
      <w:tr>
        <w:trPr>
          <w:trHeight w:val="211"/>
        </w:trPr>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Kevin D. Chapman</w:t>
            </w:r>
          </w:p>
        </w:tc>
      </w:tr>
      <w:tr>
        <w:trPr>
          <w:trHeight w:val="224"/>
        </w:trPr>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28"/>
        </w:trPr>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5"/>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7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March 2, 2026</w:t>
            </w:r>
          </w:p>
        </w:tc>
        <w:tc>
          <w:tcPr>
            <w:tcW w:w="192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 M. Ray (Hoppy) Cole, Jr.</w:t>
            </w:r>
          </w:p>
        </w:tc>
      </w:tr>
      <w:tr>
        <w:trPr>
          <w:trHeight w:val="20"/>
        </w:trPr>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r>
      <w:tr>
        <w:trPr>
          <w:trHeight w:val="211"/>
        </w:trPr>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 Ray (Hoppy)Cole, Jr.</w:t>
            </w:r>
          </w:p>
        </w:tc>
      </w:tr>
      <w:tr>
        <w:trPr>
          <w:trHeight w:val="228"/>
        </w:trPr>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Executive Advisor and Director</w:t>
            </w:r>
          </w:p>
        </w:tc>
      </w:tr>
      <w:tr>
        <w:trPr>
          <w:trHeight w:val="435"/>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7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March 2, 2026</w:t>
            </w:r>
          </w:p>
        </w:tc>
        <w:tc>
          <w:tcPr>
            <w:tcW w:w="192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 John M. Creekmore</w:t>
            </w:r>
          </w:p>
        </w:tc>
      </w:tr>
      <w:tr>
        <w:trPr>
          <w:trHeight w:val="20"/>
        </w:trPr>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r>
      <w:tr>
        <w:trPr>
          <w:trHeight w:val="211"/>
        </w:trPr>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John M. Creekmore</w:t>
            </w:r>
          </w:p>
        </w:tc>
      </w:tr>
      <w:tr>
        <w:trPr>
          <w:trHeight w:val="228"/>
        </w:trPr>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Vice Chairman of the Board and Director</w:t>
            </w:r>
          </w:p>
        </w:tc>
      </w:tr>
      <w:tr>
        <w:trPr>
          <w:trHeight w:val="448"/>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7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March 2, 2026</w:t>
            </w:r>
          </w:p>
        </w:tc>
        <w:tc>
          <w:tcPr>
            <w:tcW w:w="192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 Albert J. Dale, III</w:t>
            </w:r>
          </w:p>
        </w:tc>
      </w:tr>
      <w:tr>
        <w:trPr>
          <w:trHeight w:val="20"/>
        </w:trPr>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r>
      <w:tr>
        <w:trPr>
          <w:trHeight w:val="211"/>
        </w:trPr>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Albert J. Dale, III</w:t>
            </w:r>
          </w:p>
        </w:tc>
      </w:tr>
      <w:tr>
        <w:trPr>
          <w:trHeight w:val="228"/>
        </w:trPr>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0" w:lineRule="exact"/>
        <w:rPr>
          <w:sz w:val="20"/>
          <w:szCs w:val="20"/>
          <w:color w:val="auto"/>
        </w:rPr>
      </w:pPr>
    </w:p>
    <w:p>
      <w:pPr>
        <w:sectPr>
          <w:pgSz w:w="11900" w:h="16838" w:orient="portrait"/>
          <w:cols w:equalWidth="0" w:num="1">
            <w:col w:w="11240"/>
          </w:cols>
          <w:pgMar w:left="320" w:top="8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160895"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type w:val="continuous"/>
        </w:sectPr>
      </w:pPr>
    </w:p>
    <w:bookmarkStart w:id="159" w:name="page160"/>
    <w:bookmarkEnd w:id="159"/>
    <w:tbl>
      <w:tblPr>
        <w:tblLayout w:type="fixed"/>
        <w:tblInd w:w="0" w:type="dxa"/>
        <w:tblCellMar>
          <w:top w:w="0" w:type="dxa"/>
          <w:left w:w="0" w:type="dxa"/>
          <w:bottom w:w="0" w:type="dxa"/>
          <w:right w:w="0" w:type="dxa"/>
        </w:tblCellMar>
      </w:tblPr>
      <w:tr>
        <w:trPr>
          <w:trHeight w:val="207"/>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6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March 2, 2026</w:t>
            </w:r>
          </w:p>
        </w:tc>
        <w:tc>
          <w:tcPr>
            <w:tcW w:w="196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by:</w:t>
            </w:r>
          </w:p>
        </w:tc>
        <w:tc>
          <w:tcPr>
            <w:tcW w:w="440" w:type="dxa"/>
            <w:vAlign w:val="bottom"/>
          </w:tcPr>
          <w:p>
            <w:pPr>
              <w:spacing w:after="0"/>
              <w:rPr>
                <w:sz w:val="17"/>
                <w:szCs w:val="17"/>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Jill V. Deer</w:t>
            </w:r>
          </w:p>
        </w:tc>
      </w:tr>
      <w:tr>
        <w:trPr>
          <w:trHeight w:val="20"/>
        </w:trPr>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r>
      <w:tr>
        <w:trPr>
          <w:trHeight w:val="211"/>
        </w:trPr>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Jill V. Deer</w:t>
            </w:r>
          </w:p>
        </w:tc>
      </w:tr>
      <w:tr>
        <w:trPr>
          <w:trHeight w:val="228"/>
        </w:trPr>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Director</w:t>
            </w:r>
          </w:p>
        </w:tc>
      </w:tr>
      <w:tr>
        <w:trPr>
          <w:trHeight w:val="448"/>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6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March 2, 2026</w:t>
            </w:r>
          </w:p>
        </w:tc>
        <w:tc>
          <w:tcPr>
            <w:tcW w:w="196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by:</w:t>
            </w:r>
          </w:p>
        </w:tc>
        <w:tc>
          <w:tcPr>
            <w:tcW w:w="440" w:type="dxa"/>
            <w:vAlign w:val="bottom"/>
          </w:tcPr>
          <w:p>
            <w:pPr>
              <w:spacing w:after="0"/>
              <w:rPr>
                <w:sz w:val="24"/>
                <w:szCs w:val="24"/>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Connie L. Engel</w:t>
            </w:r>
          </w:p>
        </w:tc>
      </w:tr>
      <w:tr>
        <w:trPr>
          <w:trHeight w:val="20"/>
        </w:trPr>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r>
      <w:tr>
        <w:trPr>
          <w:trHeight w:val="211"/>
        </w:trPr>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Connie L. Engel</w:t>
            </w:r>
          </w:p>
        </w:tc>
      </w:tr>
      <w:tr>
        <w:trPr>
          <w:trHeight w:val="228"/>
        </w:trPr>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Director</w:t>
            </w:r>
          </w:p>
        </w:tc>
      </w:tr>
      <w:tr>
        <w:trPr>
          <w:trHeight w:val="435"/>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6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March 2, 2026</w:t>
            </w:r>
          </w:p>
        </w:tc>
        <w:tc>
          <w:tcPr>
            <w:tcW w:w="196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by:</w:t>
            </w:r>
          </w:p>
        </w:tc>
        <w:tc>
          <w:tcPr>
            <w:tcW w:w="440" w:type="dxa"/>
            <w:vAlign w:val="bottom"/>
          </w:tcPr>
          <w:p>
            <w:pPr>
              <w:spacing w:after="0"/>
              <w:rPr>
                <w:sz w:val="24"/>
                <w:szCs w:val="24"/>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Rose J. Flenorl</w:t>
            </w:r>
          </w:p>
        </w:tc>
      </w:tr>
      <w:tr>
        <w:trPr>
          <w:trHeight w:val="20"/>
        </w:trPr>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r>
      <w:tr>
        <w:trPr>
          <w:trHeight w:val="211"/>
        </w:trPr>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Rose J. Flenorl</w:t>
            </w:r>
          </w:p>
        </w:tc>
      </w:tr>
      <w:tr>
        <w:trPr>
          <w:trHeight w:val="228"/>
        </w:trPr>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Director</w:t>
            </w:r>
          </w:p>
        </w:tc>
      </w:tr>
      <w:tr>
        <w:trPr>
          <w:trHeight w:val="435"/>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6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March 2, 2026</w:t>
            </w:r>
          </w:p>
        </w:tc>
        <w:tc>
          <w:tcPr>
            <w:tcW w:w="196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by:</w:t>
            </w:r>
          </w:p>
        </w:tc>
        <w:tc>
          <w:tcPr>
            <w:tcW w:w="440" w:type="dxa"/>
            <w:vAlign w:val="bottom"/>
          </w:tcPr>
          <w:p>
            <w:pPr>
              <w:spacing w:after="0"/>
              <w:rPr>
                <w:sz w:val="24"/>
                <w:szCs w:val="24"/>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John T. Foy</w:t>
            </w:r>
          </w:p>
        </w:tc>
      </w:tr>
      <w:tr>
        <w:trPr>
          <w:trHeight w:val="20"/>
        </w:trPr>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r>
      <w:tr>
        <w:trPr>
          <w:trHeight w:val="211"/>
        </w:trPr>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John T. Foy</w:t>
            </w:r>
          </w:p>
        </w:tc>
      </w:tr>
      <w:tr>
        <w:trPr>
          <w:trHeight w:val="228"/>
        </w:trPr>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Director</w:t>
            </w:r>
          </w:p>
        </w:tc>
      </w:tr>
      <w:tr>
        <w:trPr>
          <w:trHeight w:val="448"/>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6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March 2, 2026</w:t>
            </w:r>
          </w:p>
        </w:tc>
        <w:tc>
          <w:tcPr>
            <w:tcW w:w="196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by:</w:t>
            </w:r>
          </w:p>
        </w:tc>
        <w:tc>
          <w:tcPr>
            <w:tcW w:w="440" w:type="dxa"/>
            <w:vAlign w:val="bottom"/>
          </w:tcPr>
          <w:p>
            <w:pPr>
              <w:spacing w:after="0"/>
              <w:rPr>
                <w:sz w:val="24"/>
                <w:szCs w:val="24"/>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Richard L. Heyer, Jr.</w:t>
            </w:r>
          </w:p>
        </w:tc>
      </w:tr>
      <w:tr>
        <w:trPr>
          <w:trHeight w:val="20"/>
        </w:trPr>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r>
      <w:tr>
        <w:trPr>
          <w:trHeight w:val="211"/>
        </w:trPr>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Richard L. Heyer, Jr.</w:t>
            </w:r>
          </w:p>
        </w:tc>
      </w:tr>
      <w:tr>
        <w:trPr>
          <w:trHeight w:val="228"/>
        </w:trPr>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Director</w:t>
            </w:r>
          </w:p>
        </w:tc>
      </w:tr>
      <w:tr>
        <w:trPr>
          <w:trHeight w:val="448"/>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6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March 2, 2026</w:t>
            </w:r>
          </w:p>
        </w:tc>
        <w:tc>
          <w:tcPr>
            <w:tcW w:w="196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by:</w:t>
            </w:r>
          </w:p>
        </w:tc>
        <w:tc>
          <w:tcPr>
            <w:tcW w:w="440" w:type="dxa"/>
            <w:vAlign w:val="bottom"/>
          </w:tcPr>
          <w:p>
            <w:pPr>
              <w:spacing w:after="0"/>
              <w:rPr>
                <w:sz w:val="24"/>
                <w:szCs w:val="24"/>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Neal A. Holland, Jr.</w:t>
            </w:r>
          </w:p>
        </w:tc>
      </w:tr>
      <w:tr>
        <w:trPr>
          <w:trHeight w:val="20"/>
        </w:trPr>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r>
      <w:tr>
        <w:trPr>
          <w:trHeight w:val="211"/>
        </w:trPr>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Neal A. Holland, Jr.</w:t>
            </w:r>
          </w:p>
        </w:tc>
      </w:tr>
      <w:tr>
        <w:trPr>
          <w:trHeight w:val="228"/>
        </w:trPr>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Director</w:t>
            </w:r>
          </w:p>
        </w:tc>
      </w:tr>
      <w:tr>
        <w:trPr>
          <w:trHeight w:val="448"/>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6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March 2, 2026</w:t>
            </w:r>
          </w:p>
        </w:tc>
        <w:tc>
          <w:tcPr>
            <w:tcW w:w="196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by:</w:t>
            </w:r>
          </w:p>
        </w:tc>
        <w:tc>
          <w:tcPr>
            <w:tcW w:w="440" w:type="dxa"/>
            <w:vAlign w:val="bottom"/>
          </w:tcPr>
          <w:p>
            <w:pPr>
              <w:spacing w:after="0"/>
              <w:rPr>
                <w:sz w:val="24"/>
                <w:szCs w:val="24"/>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Jonathan A. Levy</w:t>
            </w:r>
          </w:p>
        </w:tc>
      </w:tr>
      <w:tr>
        <w:trPr>
          <w:trHeight w:val="20"/>
        </w:trPr>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r>
      <w:tr>
        <w:trPr>
          <w:trHeight w:val="211"/>
        </w:trPr>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Jonathan A. Levy</w:t>
            </w:r>
          </w:p>
        </w:tc>
      </w:tr>
      <w:tr>
        <w:trPr>
          <w:trHeight w:val="228"/>
        </w:trPr>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Director</w:t>
            </w:r>
          </w:p>
        </w:tc>
      </w:tr>
      <w:tr>
        <w:trPr>
          <w:trHeight w:val="448"/>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6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March 2, 2026</w:t>
            </w:r>
          </w:p>
        </w:tc>
        <w:tc>
          <w:tcPr>
            <w:tcW w:w="196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by:</w:t>
            </w:r>
          </w:p>
        </w:tc>
        <w:tc>
          <w:tcPr>
            <w:tcW w:w="440" w:type="dxa"/>
            <w:vAlign w:val="bottom"/>
          </w:tcPr>
          <w:p>
            <w:pPr>
              <w:spacing w:after="0"/>
              <w:rPr>
                <w:sz w:val="24"/>
                <w:szCs w:val="24"/>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E. Robinson McGraw</w:t>
            </w:r>
          </w:p>
        </w:tc>
      </w:tr>
      <w:tr>
        <w:trPr>
          <w:trHeight w:val="20"/>
        </w:trPr>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r>
      <w:tr>
        <w:trPr>
          <w:trHeight w:val="211"/>
        </w:trPr>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 Robinson McGraw</w:t>
            </w:r>
          </w:p>
        </w:tc>
      </w:tr>
      <w:tr>
        <w:trPr>
          <w:trHeight w:val="228"/>
        </w:trPr>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Chairman of the Board and Director</w:t>
            </w:r>
          </w:p>
        </w:tc>
      </w:tr>
      <w:tr>
        <w:trPr>
          <w:trHeight w:val="448"/>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6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March 2, 2026</w:t>
            </w:r>
          </w:p>
        </w:tc>
        <w:tc>
          <w:tcPr>
            <w:tcW w:w="196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by:</w:t>
            </w:r>
          </w:p>
        </w:tc>
        <w:tc>
          <w:tcPr>
            <w:tcW w:w="440" w:type="dxa"/>
            <w:vAlign w:val="bottom"/>
          </w:tcPr>
          <w:p>
            <w:pPr>
              <w:spacing w:after="0"/>
              <w:rPr>
                <w:sz w:val="24"/>
                <w:szCs w:val="24"/>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Renee Moore</w:t>
            </w:r>
          </w:p>
        </w:tc>
      </w:tr>
      <w:tr>
        <w:trPr>
          <w:trHeight w:val="20"/>
        </w:trPr>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r>
      <w:tr>
        <w:trPr>
          <w:trHeight w:val="211"/>
        </w:trPr>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Renee Moore</w:t>
            </w:r>
          </w:p>
        </w:tc>
      </w:tr>
      <w:tr>
        <w:trPr>
          <w:trHeight w:val="228"/>
        </w:trPr>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Director</w:t>
            </w:r>
          </w:p>
        </w:tc>
      </w:tr>
      <w:tr>
        <w:trPr>
          <w:trHeight w:val="448"/>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6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March 2, 2026</w:t>
            </w:r>
          </w:p>
        </w:tc>
        <w:tc>
          <w:tcPr>
            <w:tcW w:w="196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by:</w:t>
            </w:r>
          </w:p>
        </w:tc>
        <w:tc>
          <w:tcPr>
            <w:tcW w:w="440" w:type="dxa"/>
            <w:vAlign w:val="bottom"/>
          </w:tcPr>
          <w:p>
            <w:pPr>
              <w:spacing w:after="0"/>
              <w:rPr>
                <w:sz w:val="24"/>
                <w:szCs w:val="24"/>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Ted E. Parker</w:t>
            </w:r>
          </w:p>
        </w:tc>
      </w:tr>
      <w:tr>
        <w:trPr>
          <w:trHeight w:val="20"/>
        </w:trPr>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r>
      <w:tr>
        <w:trPr>
          <w:trHeight w:val="211"/>
        </w:trPr>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Ted E. Parker</w:t>
            </w:r>
          </w:p>
        </w:tc>
      </w:tr>
      <w:tr>
        <w:trPr>
          <w:trHeight w:val="228"/>
        </w:trPr>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Director</w:t>
            </w:r>
          </w:p>
        </w:tc>
      </w:tr>
      <w:tr>
        <w:trPr>
          <w:trHeight w:val="448"/>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6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March 2, 2026</w:t>
            </w:r>
          </w:p>
        </w:tc>
        <w:tc>
          <w:tcPr>
            <w:tcW w:w="196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by:</w:t>
            </w:r>
          </w:p>
        </w:tc>
        <w:tc>
          <w:tcPr>
            <w:tcW w:w="440" w:type="dxa"/>
            <w:vAlign w:val="bottom"/>
          </w:tcPr>
          <w:p>
            <w:pPr>
              <w:spacing w:after="0"/>
              <w:rPr>
                <w:sz w:val="24"/>
                <w:szCs w:val="24"/>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Sean M. Suggs</w:t>
            </w:r>
          </w:p>
        </w:tc>
      </w:tr>
      <w:tr>
        <w:trPr>
          <w:trHeight w:val="20"/>
        </w:trPr>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r>
      <w:tr>
        <w:trPr>
          <w:trHeight w:val="211"/>
        </w:trPr>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Sean M. Suggs</w:t>
            </w:r>
          </w:p>
        </w:tc>
      </w:tr>
      <w:tr>
        <w:trPr>
          <w:trHeight w:val="228"/>
        </w:trPr>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Director</w:t>
            </w:r>
          </w:p>
        </w:tc>
      </w:tr>
      <w:tr>
        <w:trPr>
          <w:trHeight w:val="448"/>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6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March 2, 2026</w:t>
            </w:r>
          </w:p>
        </w:tc>
        <w:tc>
          <w:tcPr>
            <w:tcW w:w="196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by:</w:t>
            </w:r>
          </w:p>
        </w:tc>
        <w:tc>
          <w:tcPr>
            <w:tcW w:w="440" w:type="dxa"/>
            <w:vAlign w:val="bottom"/>
          </w:tcPr>
          <w:p>
            <w:pPr>
              <w:spacing w:after="0"/>
              <w:rPr>
                <w:sz w:val="24"/>
                <w:szCs w:val="24"/>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C. Mitchell Waycaster</w:t>
            </w:r>
          </w:p>
        </w:tc>
      </w:tr>
      <w:tr>
        <w:trPr>
          <w:trHeight w:val="20"/>
        </w:trPr>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r>
      <w:tr>
        <w:trPr>
          <w:trHeight w:val="211"/>
        </w:trPr>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 Mitchell Waycaster</w:t>
            </w:r>
          </w:p>
        </w:tc>
      </w:tr>
      <w:tr>
        <w:trPr>
          <w:trHeight w:val="228"/>
        </w:trPr>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Executive Vice Chairman and Director</w:t>
            </w:r>
          </w:p>
        </w:tc>
      </w:tr>
    </w:tbl>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9359"/>
          </w:cols>
          <w:pgMar w:left="1100" w:top="893" w:right="1440"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b w:val="1"/>
          <w:bCs w:val="1"/>
          <w:color w:val="auto"/>
        </w:rPr>
        <w:t>Exhibit (10)(xxvii)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RENASANT CORPORATION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LONG-TERM INCENTIVE COMPENSATION PLAN</w:t>
      </w:r>
    </w:p>
    <w:p>
      <w:pPr>
        <w:spacing w:after="0" w:line="213" w:lineRule="exact"/>
        <w:rPr>
          <w:sz w:val="20"/>
          <w:szCs w:val="20"/>
          <w:color w:val="auto"/>
        </w:rPr>
      </w:pPr>
    </w:p>
    <w:p>
      <w:pPr>
        <w:ind w:right="5000"/>
        <w:spacing w:after="0" w:line="269" w:lineRule="auto"/>
        <w:rPr>
          <w:sz w:val="20"/>
          <w:szCs w:val="20"/>
          <w:color w:val="auto"/>
        </w:rPr>
      </w:pPr>
      <w:r>
        <w:rPr>
          <w:rFonts w:ascii="Arial" w:cs="Arial" w:eastAsia="Arial" w:hAnsi="Arial"/>
          <w:sz w:val="18"/>
          <w:szCs w:val="18"/>
          <w:b w:val="1"/>
          <w:bCs w:val="1"/>
          <w:color w:val="auto"/>
        </w:rPr>
        <w:t xml:space="preserve">EMPLOYEE INCENTIVE AGREEMENT – </w:t>
      </w:r>
      <w:r>
        <w:rPr>
          <w:rFonts w:ascii="Arial" w:cs="Arial" w:eastAsia="Arial" w:hAnsi="Arial"/>
          <w:sz w:val="21"/>
          <w:szCs w:val="21"/>
          <w:b w:val="1"/>
          <w:bCs w:val="1"/>
          <w:color w:val="auto"/>
        </w:rPr>
        <w:t>[__]</w:t>
      </w:r>
      <w:r>
        <w:rPr>
          <w:rFonts w:ascii="Arial" w:cs="Arial" w:eastAsia="Arial" w:hAnsi="Arial"/>
          <w:sz w:val="18"/>
          <w:szCs w:val="18"/>
          <w:b w:val="1"/>
          <w:bCs w:val="1"/>
          <w:color w:val="auto"/>
        </w:rPr>
        <w:t xml:space="preserve"> RESTRICTED STOCK AWARD Time-Based Shares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p>
    <w:p>
      <w:pPr>
        <w:spacing w:after="0" w:line="238" w:lineRule="auto"/>
        <w:rPr>
          <w:sz w:val="20"/>
          <w:szCs w:val="20"/>
          <w:color w:val="auto"/>
        </w:rPr>
      </w:pPr>
      <w:r>
        <w:rPr>
          <w:rFonts w:ascii="Arial" w:cs="Arial" w:eastAsia="Arial" w:hAnsi="Arial"/>
          <w:sz w:val="18"/>
          <w:szCs w:val="18"/>
          <w:b w:val="1"/>
          <w:bCs w:val="1"/>
          <w:color w:val="auto"/>
        </w:rPr>
        <w:t>Award Date:</w:t>
      </w:r>
    </w:p>
    <w:p>
      <w:pPr>
        <w:spacing w:after="0" w:line="214" w:lineRule="auto"/>
        <w:rPr>
          <w:sz w:val="20"/>
          <w:szCs w:val="20"/>
          <w:color w:val="auto"/>
        </w:rPr>
      </w:pPr>
      <w:r>
        <w:rPr>
          <w:rFonts w:ascii="Arial" w:cs="Arial" w:eastAsia="Arial" w:hAnsi="Arial"/>
          <w:sz w:val="18"/>
          <w:szCs w:val="18"/>
          <w:b w:val="1"/>
          <w:bCs w:val="1"/>
          <w:color w:val="auto"/>
        </w:rPr>
        <w:t>Number of Award Shares:</w:t>
      </w:r>
    </w:p>
    <w:p>
      <w:pPr>
        <w:spacing w:after="0" w:line="229" w:lineRule="auto"/>
        <w:rPr>
          <w:sz w:val="20"/>
          <w:szCs w:val="20"/>
          <w:color w:val="auto"/>
        </w:rPr>
      </w:pPr>
      <w:r>
        <w:rPr>
          <w:rFonts w:ascii="Arial" w:cs="Arial" w:eastAsia="Arial" w:hAnsi="Arial"/>
          <w:sz w:val="18"/>
          <w:szCs w:val="18"/>
          <w:b w:val="1"/>
          <w:bCs w:val="1"/>
          <w:color w:val="auto"/>
        </w:rPr>
        <w:t>Service Period:</w:t>
      </w:r>
    </w:p>
    <w:p>
      <w:pPr>
        <w:spacing w:after="0"/>
        <w:rPr>
          <w:sz w:val="20"/>
          <w:szCs w:val="20"/>
          <w:color w:val="auto"/>
        </w:rPr>
      </w:pPr>
      <w:r>
        <w:rPr>
          <w:rFonts w:ascii="Arial" w:cs="Arial" w:eastAsia="Arial" w:hAnsi="Arial"/>
          <w:sz w:val="18"/>
          <w:szCs w:val="18"/>
          <w:b w:val="1"/>
          <w:bCs w:val="1"/>
          <w:color w:val="auto"/>
        </w:rPr>
        <w:t>Date of this Incentive Agreement:</w:t>
      </w:r>
    </w:p>
    <w:p>
      <w:pPr>
        <w:spacing w:after="0" w:line="21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Compensation Committee of the Board of Directors of Renasant Corporation (the “Company”), which administers the Renasant Corporation 2020 Long-Term Incentive Compensation Plan, as amended (the “LTIP”), has awarded to you shares of the Company’s $5.00 par value common stock (“Common Stock”), subject to the terms and conditions set forth below (your “Award”). This Incentive Agreement is intended to provide you with the material terms and conditions of your Award and is qualified in its entirety by the terms of the LTIP. A copy of the prospectus for the LTIP is available through your participant portal at [__]</w:t>
      </w:r>
      <w:r>
        <w:rPr>
          <w:rFonts w:ascii="Arial" w:cs="Arial" w:eastAsia="Arial" w:hAnsi="Arial"/>
          <w:sz w:val="18"/>
          <w:szCs w:val="18"/>
          <w:b w:val="1"/>
          <w:bCs w:val="1"/>
          <w:color w:val="auto"/>
        </w:rPr>
        <w:t>;</w:t>
      </w:r>
      <w:r>
        <w:rPr>
          <w:rFonts w:ascii="Arial" w:cs="Arial" w:eastAsia="Arial" w:hAnsi="Arial"/>
          <w:sz w:val="18"/>
          <w:szCs w:val="18"/>
          <w:color w:val="auto"/>
        </w:rPr>
        <w:t xml:space="preserve"> you can obtain the complete LTIP documents by contacting [__] at [__] or at [__]. Unless otherwise defined, capitalized terms used below have the meanings ascribed to them in the LTIP.</w:t>
      </w:r>
    </w:p>
    <w:p>
      <w:pPr>
        <w:spacing w:after="0" w:line="256" w:lineRule="exact"/>
        <w:rPr>
          <w:sz w:val="20"/>
          <w:szCs w:val="20"/>
          <w:color w:val="auto"/>
        </w:rPr>
      </w:pPr>
    </w:p>
    <w:p>
      <w:pPr>
        <w:jc w:val="center"/>
        <w:ind w:right="20"/>
        <w:spacing w:after="0" w:line="248" w:lineRule="auto"/>
        <w:rPr>
          <w:sz w:val="20"/>
          <w:szCs w:val="20"/>
          <w:color w:val="auto"/>
        </w:rPr>
      </w:pPr>
      <w:r>
        <w:rPr>
          <w:rFonts w:ascii="Arial" w:cs="Arial" w:eastAsia="Arial" w:hAnsi="Arial"/>
          <w:sz w:val="18"/>
          <w:szCs w:val="18"/>
          <w:b w:val="1"/>
          <w:bCs w:val="1"/>
          <w:color w:val="auto"/>
        </w:rPr>
        <w:t>Your agreement and acceptance of covenants protecting the Company’s confidential information and prohibiting the solicitation of its employees, borrowers and depositors and other customers is a condition of your Award. Please review the covenants included in Appendix A to this Incentive Agreement and contact [</w:t>
      </w:r>
      <w:r>
        <w:rPr>
          <w:rFonts w:ascii="Arial" w:cs="Arial" w:eastAsia="Arial" w:hAnsi="Arial"/>
          <w:sz w:val="18"/>
          <w:szCs w:val="18"/>
          <w:color w:val="auto"/>
        </w:rPr>
        <w:t>__</w:t>
      </w:r>
      <w:r>
        <w:rPr>
          <w:rFonts w:ascii="Arial" w:cs="Arial" w:eastAsia="Arial" w:hAnsi="Arial"/>
          <w:sz w:val="18"/>
          <w:szCs w:val="18"/>
          <w:b w:val="1"/>
          <w:bCs w:val="1"/>
          <w:color w:val="auto"/>
        </w:rPr>
        <w:t>] with any questions before you accept your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-403225</wp:posOffset>
            </wp:positionV>
            <wp:extent cx="7118985" cy="4095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2">
                      <a:extLst>
                        <a:ext uri="{28A0092B-C50C-407E-A947-70E740481C1C}"/>
                      </a:extLst>
                    </a:blip>
                    <a:srcRect/>
                    <a:stretch>
                      <a:fillRect/>
                    </a:stretch>
                  </pic:blipFill>
                  <pic:spPr bwMode="auto">
                    <a:xfrm>
                      <a:off x="0" y="0"/>
                      <a:ext cx="7118985" cy="409575"/>
                    </a:xfrm>
                    <a:prstGeom prst="rect">
                      <a:avLst/>
                    </a:prstGeom>
                    <a:noFill/>
                  </pic:spPr>
                </pic:pic>
              </a:graphicData>
            </a:graphic>
          </wp:anchor>
        </w:drawing>
      </w:r>
    </w:p>
    <w:p>
      <w:pPr>
        <w:spacing w:after="0" w:line="273" w:lineRule="exact"/>
        <w:rPr>
          <w:sz w:val="20"/>
          <w:szCs w:val="20"/>
          <w:color w:val="auto"/>
        </w:rPr>
      </w:pPr>
    </w:p>
    <w:p>
      <w:pPr>
        <w:jc w:val="both"/>
        <w:ind w:firstLine="5"/>
        <w:spacing w:after="0" w:line="237" w:lineRule="auto"/>
        <w:tabs>
          <w:tab w:leader="none" w:pos="208"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Award. </w:t>
      </w:r>
      <w:r>
        <w:rPr>
          <w:rFonts w:ascii="Arial" w:cs="Arial" w:eastAsia="Arial" w:hAnsi="Arial"/>
          <w:sz w:val="18"/>
          <w:szCs w:val="18"/>
          <w:color w:val="auto"/>
        </w:rPr>
        <w:t>As of the Award Date (specified above), the Company has issued in your name the number of shares of Common Stock specified</w:t>
      </w:r>
      <w:r>
        <w:rPr>
          <w:rFonts w:ascii="Arial" w:cs="Arial" w:eastAsia="Arial" w:hAnsi="Arial"/>
          <w:sz w:val="18"/>
          <w:szCs w:val="18"/>
          <w:b w:val="1"/>
          <w:bCs w:val="1"/>
          <w:color w:val="auto"/>
        </w:rPr>
        <w:t xml:space="preserve"> </w:t>
      </w:r>
      <w:r>
        <w:rPr>
          <w:rFonts w:ascii="Arial" w:cs="Arial" w:eastAsia="Arial" w:hAnsi="Arial"/>
          <w:sz w:val="18"/>
          <w:szCs w:val="18"/>
          <w:color w:val="auto"/>
        </w:rPr>
        <w:t>above (your “Award Shares”). During the Service Period (specified above), your Award Shares cannot be sold, assigned, transferred, pledged, hypothecated, mortgaged or otherwise disposed of, whether voluntarily or involuntarily, by operation of law or otherwise (the “Forfeiture Restrictions”). Award Shares are issued in book entry form and may be certificated only after the shares vest and the Forfeiture Restrictions lapse.</w:t>
      </w:r>
    </w:p>
    <w:p>
      <w:pPr>
        <w:spacing w:after="0" w:line="201" w:lineRule="exact"/>
        <w:rPr>
          <w:rFonts w:ascii="Arial" w:cs="Arial" w:eastAsia="Arial" w:hAnsi="Arial"/>
          <w:sz w:val="18"/>
          <w:szCs w:val="18"/>
          <w:b w:val="1"/>
          <w:bCs w:val="1"/>
          <w:color w:val="auto"/>
        </w:rPr>
      </w:pPr>
    </w:p>
    <w:p>
      <w:pPr>
        <w:jc w:val="both"/>
        <w:ind w:firstLine="5"/>
        <w:spacing w:after="0" w:line="234" w:lineRule="auto"/>
        <w:tabs>
          <w:tab w:leader="none" w:pos="208"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Nature of Ownership; Shareholder Rights. </w:t>
      </w:r>
      <w:r>
        <w:rPr>
          <w:rFonts w:ascii="Arial" w:cs="Arial" w:eastAsia="Arial" w:hAnsi="Arial"/>
          <w:sz w:val="18"/>
          <w:szCs w:val="18"/>
          <w:color w:val="auto"/>
        </w:rPr>
        <w:t>During the Service Period, you will possess the right to vote your Award Shares and receive</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dividends in respect of these shares paid in the form of Common Stock as and when declared by the Company’s Board of Directors; provided that Common Stock issued in respect of a dividend, if any, will be subject to the limitations set forth in this Incentive Agreement. All other shareholder rights, including the right to receive cash dividends or to receive a liquidating or similar distribution if the Company were liquidated or dissolved, will be applicable after your Award is vested and settled. If during the Service Period cash dividends are declared and paid on Common Stock, a book account maintained in your name will be credited with an amount representing the dividends otherwise payable on your Award Shares (“Dividend Equivalents”).</w:t>
      </w:r>
    </w:p>
    <w:p>
      <w:pPr>
        <w:spacing w:after="0" w:line="205" w:lineRule="exact"/>
        <w:rPr>
          <w:rFonts w:ascii="Arial" w:cs="Arial" w:eastAsia="Arial" w:hAnsi="Arial"/>
          <w:sz w:val="18"/>
          <w:szCs w:val="18"/>
          <w:b w:val="1"/>
          <w:bCs w:val="1"/>
          <w:color w:val="auto"/>
        </w:rPr>
      </w:pPr>
    </w:p>
    <w:p>
      <w:pPr>
        <w:jc w:val="both"/>
        <w:ind w:firstLine="5"/>
        <w:spacing w:after="0" w:line="234" w:lineRule="auto"/>
        <w:tabs>
          <w:tab w:leader="none" w:pos="221"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and Settlement. </w:t>
      </w:r>
      <w:r>
        <w:rPr>
          <w:rFonts w:ascii="Arial" w:cs="Arial" w:eastAsia="Arial" w:hAnsi="Arial"/>
          <w:sz w:val="18"/>
          <w:szCs w:val="18"/>
          <w:color w:val="auto"/>
        </w:rPr>
        <w:t>Your Award will vest and be settled as of the first business day following the end of the Service Period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“Settlement Date”),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you have been continuously employed by the Company or an affiliate and are then in good standing. When an Award is vested and settled, the Forfeiture Restrictions will no longer apply to your Award Shares, although the shares may be subject to the further holding period described in paragraph 7 of this Incentive Agreement. On the Settlement Date, Dividend Equivalents for the vested and settled shares will be distributed in the form of cash, without liability for interest or investment gain during the Service Period.</w:t>
      </w:r>
    </w:p>
    <w:p>
      <w:pPr>
        <w:spacing w:after="0" w:line="201" w:lineRule="exact"/>
        <w:rPr>
          <w:rFonts w:ascii="Arial" w:cs="Arial" w:eastAsia="Arial" w:hAnsi="Arial"/>
          <w:sz w:val="18"/>
          <w:szCs w:val="18"/>
          <w:b w:val="1"/>
          <w:bCs w:val="1"/>
          <w:color w:val="auto"/>
        </w:rPr>
      </w:pPr>
    </w:p>
    <w:p>
      <w:pPr>
        <w:jc w:val="both"/>
        <w:ind w:firstLine="5"/>
        <w:spacing w:after="0" w:line="243" w:lineRule="auto"/>
        <w:tabs>
          <w:tab w:leader="none" w:pos="195"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Separation From Service. </w:t>
      </w:r>
      <w:r>
        <w:rPr>
          <w:rFonts w:ascii="Arial" w:cs="Arial" w:eastAsia="Arial" w:hAnsi="Arial"/>
          <w:sz w:val="18"/>
          <w:szCs w:val="18"/>
          <w:color w:val="auto"/>
        </w:rPr>
        <w:t>If you Separate From Service (as defined in the LTIP) before the end of the Service Period, your Award Shares</w:t>
      </w:r>
      <w:r>
        <w:rPr>
          <w:rFonts w:ascii="Arial" w:cs="Arial" w:eastAsia="Arial" w:hAnsi="Arial"/>
          <w:sz w:val="18"/>
          <w:szCs w:val="18"/>
          <w:b w:val="1"/>
          <w:bCs w:val="1"/>
          <w:color w:val="auto"/>
        </w:rPr>
        <w:t xml:space="preserve"> </w:t>
      </w:r>
      <w:r>
        <w:rPr>
          <w:rFonts w:ascii="Arial" w:cs="Arial" w:eastAsia="Arial" w:hAnsi="Arial"/>
          <w:sz w:val="18"/>
          <w:szCs w:val="18"/>
          <w:color w:val="auto"/>
        </w:rPr>
        <w:t>and Dividend Equivalents will be forfeited to and cancelled by the Company, without any compensation or payment. Notwithstanding the foregoing, if your separation is on account of your death, Disability, Retirement or your separation is involuntary without Cause (each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1240"/>
          </w:cols>
          <w:pgMar w:left="320" w:top="119" w:right="339" w:bottom="1440" w:gutter="0" w:footer="0" w:header="0"/>
        </w:sectPr>
      </w:pPr>
    </w:p>
    <w:bookmarkStart w:id="161" w:name="page162"/>
    <w:bookmarkEnd w:id="161"/>
    <w:p>
      <w:pPr>
        <w:spacing w:after="0" w:line="256" w:lineRule="auto"/>
        <w:rPr>
          <w:sz w:val="20"/>
          <w:szCs w:val="20"/>
          <w:color w:val="auto"/>
        </w:rPr>
      </w:pPr>
      <w:r>
        <w:rPr>
          <w:rFonts w:ascii="Arial" w:cs="Arial" w:eastAsia="Arial" w:hAnsi="Arial"/>
          <w:sz w:val="18"/>
          <w:szCs w:val="18"/>
          <w:color w:val="auto"/>
        </w:rPr>
        <w:t>defined in the LTIP), your Award Shares will be settled and Dividend Equivalents will be distributed on a prorated basis, based upon the duration of your employment during the Service Period.</w:t>
      </w:r>
    </w:p>
    <w:p>
      <w:pPr>
        <w:spacing w:after="0" w:line="188" w:lineRule="exact"/>
        <w:rPr>
          <w:sz w:val="20"/>
          <w:szCs w:val="20"/>
          <w:color w:val="auto"/>
        </w:rPr>
      </w:pPr>
    </w:p>
    <w:p>
      <w:pPr>
        <w:jc w:val="both"/>
        <w:ind w:firstLine="5"/>
        <w:spacing w:after="0" w:line="232" w:lineRule="auto"/>
        <w:tabs>
          <w:tab w:leader="none" w:pos="221"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Change in Control</w:t>
      </w:r>
      <w:r>
        <w:rPr>
          <w:rFonts w:ascii="Arial" w:cs="Arial" w:eastAsia="Arial" w:hAnsi="Arial"/>
          <w:sz w:val="18"/>
          <w:szCs w:val="18"/>
          <w:color w:val="auto"/>
        </w:rPr>
        <w:t>. If a Change in Control is consummated during the Service Period, your Award Shares will be settled and Dividend</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will be distributed (as described in paragraph 3 above) as of the earlier of the end of the Service Period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you remain continuously employed and in good standing) or as of the date of your Permitted Separation. The term “Permitted Separation” means that during the 24-month period following the consummation of a Change in Control, your Separation From Service is involuntary, other than on account of Cause (including Good Reason as contemplated under the LTIP). For avoidance of doubt, nothing contained in this Incentive Agreement is intended to modify the provisions of paragraph 4, which will be applicable in the event of your death, Disability, Retirement or Separation From Service on account of Cause following a Change in Control.</w:t>
      </w:r>
    </w:p>
    <w:p>
      <w:pPr>
        <w:spacing w:after="0" w:line="204" w:lineRule="exact"/>
        <w:rPr>
          <w:rFonts w:ascii="Arial" w:cs="Arial" w:eastAsia="Arial" w:hAnsi="Arial"/>
          <w:sz w:val="18"/>
          <w:szCs w:val="18"/>
          <w:b w:val="1"/>
          <w:bCs w:val="1"/>
          <w:color w:val="auto"/>
        </w:rPr>
      </w:pPr>
    </w:p>
    <w:p>
      <w:pPr>
        <w:jc w:val="both"/>
        <w:ind w:firstLine="5"/>
        <w:spacing w:after="0" w:line="235" w:lineRule="auto"/>
        <w:tabs>
          <w:tab w:leader="none" w:pos="221"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r>
        <w:rPr>
          <w:rFonts w:ascii="Arial" w:cs="Arial" w:eastAsia="Arial" w:hAnsi="Arial"/>
          <w:sz w:val="18"/>
          <w:szCs w:val="18"/>
          <w:color w:val="auto"/>
        </w:rPr>
        <w:t>. When vested and settled, the Fair Market Value (as defined in the LTIP) of your Award Shares and the value of your Dividend</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are considered compensation and are subject to withholding for all federal, state and local income and employment taxes required by law to be withheld. Unless you make other arrangements satisfactory to the Company, the Company will withhold all of your Dividend Equivalents and the number of your Award Shares having a Fair Market Value equal to the remaining amount of your withholdings. The amount of your withholdings will be determined using the applicable supplemental wage rate for Federal income taxes, applicable employment tax rates, and your state’s maximum marginal income tax rate, unless the Company agrees in advance to use different rates.</w:t>
      </w:r>
    </w:p>
    <w:p>
      <w:pPr>
        <w:spacing w:after="0" w:line="20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You may elect under Section 83 of the Internal Revenue Code to accelerate the payment of tax to the Award Date (a time when the value of the Award Shares may be less). This election must be made and filed with the Company and the Internal Revenue Service no later than 30 days after the Award Date. You should consult your own tax advisor to determine whether you would benefit from this election and to obtain a full description of the necessary procedures.</w:t>
      </w:r>
    </w:p>
    <w:p>
      <w:pPr>
        <w:spacing w:after="0" w:line="203" w:lineRule="exact"/>
        <w:rPr>
          <w:sz w:val="20"/>
          <w:szCs w:val="20"/>
          <w:color w:val="auto"/>
        </w:rPr>
      </w:pPr>
    </w:p>
    <w:p>
      <w:pPr>
        <w:jc w:val="both"/>
        <w:ind w:firstLine="5"/>
        <w:spacing w:after="0" w:line="232" w:lineRule="auto"/>
        <w:tabs>
          <w:tab w:leader="none" w:pos="208"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Further Holding Period</w:t>
      </w:r>
      <w:r>
        <w:rPr>
          <w:rFonts w:ascii="Arial" w:cs="Arial" w:eastAsia="Arial" w:hAnsi="Arial"/>
          <w:sz w:val="18"/>
          <w:szCs w:val="18"/>
          <w:color w:val="auto"/>
        </w:rPr>
        <w:t>. If you are subject to reporting under Section 16 of the Securities Exchange Act of 1934, as amended, a further</w:t>
      </w:r>
      <w:r>
        <w:rPr>
          <w:rFonts w:ascii="Arial" w:cs="Arial" w:eastAsia="Arial" w:hAnsi="Arial"/>
          <w:sz w:val="18"/>
          <w:szCs w:val="18"/>
          <w:b w:val="1"/>
          <w:bCs w:val="1"/>
          <w:color w:val="auto"/>
        </w:rPr>
        <w:t xml:space="preserve"> </w:t>
      </w:r>
      <w:r>
        <w:rPr>
          <w:rFonts w:ascii="Arial" w:cs="Arial" w:eastAsia="Arial" w:hAnsi="Arial"/>
          <w:sz w:val="18"/>
          <w:szCs w:val="18"/>
          <w:color w:val="auto"/>
        </w:rPr>
        <w:t>holding period applies to your Net Shares. The purpose of the holding period is to ensure that your Net Shares will be retained, enhancing the alignment of your financial interests and the financial interests of the Company. The further holding period begins on the Settlement Date and ends 24 months later. During the period, your Net Shares may not be sold, pledged, mortgaged, assigned or transferred, although the shares will no longer be subject to forfeiture. The further holding period will be subject to early termination in the event of your death or Disability or if a Change in Control occurs. The term “Net Shares” means the number of your Award Shares that have been settled, net of the number of shares withheld by the Company for purposes of satisfying your withholding obligations (as described in paragraph 6).</w:t>
      </w:r>
    </w:p>
    <w:p>
      <w:pPr>
        <w:spacing w:after="0" w:line="204" w:lineRule="exact"/>
        <w:rPr>
          <w:rFonts w:ascii="Arial" w:cs="Arial" w:eastAsia="Arial" w:hAnsi="Arial"/>
          <w:sz w:val="18"/>
          <w:szCs w:val="18"/>
          <w:b w:val="1"/>
          <w:bCs w:val="1"/>
          <w:color w:val="auto"/>
        </w:rPr>
      </w:pPr>
    </w:p>
    <w:p>
      <w:pPr>
        <w:ind w:firstLine="5"/>
        <w:spacing w:after="0" w:line="258" w:lineRule="auto"/>
        <w:tabs>
          <w:tab w:leader="none" w:pos="208"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Employment Rights</w:t>
      </w:r>
      <w:r>
        <w:rPr>
          <w:rFonts w:ascii="Arial" w:cs="Arial" w:eastAsia="Arial" w:hAnsi="Arial"/>
          <w:sz w:val="18"/>
          <w:szCs w:val="18"/>
          <w:color w:val="auto"/>
        </w:rPr>
        <w:t>. Nothing contained in this Incentive Agreement or the LTIP confers on you any right to continue in the employ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any affiliate or to be employed in a particular position or at a particular rate of compensation.</w:t>
      </w:r>
    </w:p>
    <w:p>
      <w:pPr>
        <w:spacing w:after="0" w:line="186" w:lineRule="exact"/>
        <w:rPr>
          <w:rFonts w:ascii="Arial" w:cs="Arial" w:eastAsia="Arial" w:hAnsi="Arial"/>
          <w:sz w:val="18"/>
          <w:szCs w:val="18"/>
          <w:b w:val="1"/>
          <w:bCs w:val="1"/>
          <w:color w:val="auto"/>
        </w:rPr>
      </w:pPr>
    </w:p>
    <w:p>
      <w:pPr>
        <w:ind w:firstLine="5"/>
        <w:spacing w:after="0" w:line="258" w:lineRule="auto"/>
        <w:tabs>
          <w:tab w:leader="none" w:pos="208"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Requirements</w:t>
      </w:r>
      <w:r>
        <w:rPr>
          <w:rFonts w:ascii="Arial" w:cs="Arial" w:eastAsia="Arial" w:hAnsi="Arial"/>
          <w:sz w:val="18"/>
          <w:szCs w:val="18"/>
          <w:color w:val="auto"/>
        </w:rPr>
        <w:t>. Your Award and Common Stock acquired hereunder are subject to the terms of this Incentive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additional requirements, including the following:</w:t>
      </w:r>
    </w:p>
    <w:p>
      <w:pPr>
        <w:spacing w:after="0" w:line="188" w:lineRule="exact"/>
        <w:rPr>
          <w:rFonts w:ascii="Arial" w:cs="Arial" w:eastAsia="Arial" w:hAnsi="Arial"/>
          <w:sz w:val="18"/>
          <w:szCs w:val="18"/>
          <w:b w:val="1"/>
          <w:bCs w:val="1"/>
          <w:color w:val="auto"/>
        </w:rPr>
      </w:pPr>
    </w:p>
    <w:p>
      <w:pPr>
        <w:ind w:left="980" w:hanging="343"/>
        <w:spacing w:after="0"/>
        <w:tabs>
          <w:tab w:leader="none" w:pos="9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terms of the LTIP, some of which are omitted from this Incentive Agreement.</w:t>
      </w:r>
    </w:p>
    <w:p>
      <w:pPr>
        <w:spacing w:after="0" w:line="227" w:lineRule="exact"/>
        <w:rPr>
          <w:rFonts w:ascii="Arial" w:cs="Arial" w:eastAsia="Arial" w:hAnsi="Arial"/>
          <w:sz w:val="18"/>
          <w:szCs w:val="18"/>
          <w:color w:val="auto"/>
        </w:rPr>
      </w:pPr>
    </w:p>
    <w:p>
      <w:pPr>
        <w:ind w:left="1260" w:hanging="623"/>
        <w:spacing w:after="0" w:line="236" w:lineRule="auto"/>
        <w:tabs>
          <w:tab w:leader="none" w:pos="10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Common Stock issued hereunder may bear such legends as the Compensation Committee or the Company deems necessary or appropriate, whether to comply with applicable federal or state securities laws or to reflect the terms of this Incentive Agreement or the LTIP, including the further holding period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RENASANT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40"/>
          </w:cols>
          <w:pgMar w:left="320" w:top="1373" w:right="339" w:bottom="1440" w:gutter="0" w:footer="0" w:header="0"/>
        </w:sectPr>
      </w:pPr>
    </w:p>
    <w:bookmarkStart w:id="162" w:name="page163"/>
    <w:bookmarkEnd w:id="162"/>
    <w:p>
      <w:pPr>
        <w:jc w:val="center"/>
        <w:ind w:right="-59"/>
        <w:spacing w:after="0"/>
        <w:rPr>
          <w:sz w:val="20"/>
          <w:szCs w:val="20"/>
          <w:color w:val="auto"/>
        </w:rPr>
      </w:pPr>
      <w:r>
        <w:rPr>
          <w:rFonts w:ascii="Arial" w:cs="Arial" w:eastAsia="Arial" w:hAnsi="Arial"/>
          <w:sz w:val="16"/>
          <w:szCs w:val="16"/>
          <w:b w:val="1"/>
          <w:bCs w:val="1"/>
          <w:color w:val="auto"/>
        </w:rPr>
        <w:t>You must accept your Award, including the Covenants, no later than 30 days after the date of this Incentive Agreement (above). If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7135495" cy="5346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3">
                      <a:extLst>
                        <a:ext uri="{28A0092B-C50C-407E-A947-70E740481C1C}"/>
                      </a:extLst>
                    </a:blip>
                    <a:srcRect/>
                    <a:stretch>
                      <a:fillRect/>
                    </a:stretch>
                  </pic:blipFill>
                  <pic:spPr bwMode="auto">
                    <a:xfrm>
                      <a:off x="0" y="0"/>
                      <a:ext cx="7135495" cy="534670"/>
                    </a:xfrm>
                    <a:prstGeom prst="rect">
                      <a:avLst/>
                    </a:prstGeom>
                    <a:noFill/>
                  </pic:spPr>
                </pic:pic>
              </a:graphicData>
            </a:graphic>
          </wp:anchor>
        </w:drawing>
      </w:r>
    </w:p>
    <w:p>
      <w:pPr>
        <w:spacing w:after="0" w:line="11" w:lineRule="exact"/>
        <w:rPr>
          <w:sz w:val="20"/>
          <w:szCs w:val="20"/>
          <w:color w:val="auto"/>
        </w:rPr>
      </w:pPr>
    </w:p>
    <w:p>
      <w:pPr>
        <w:jc w:val="center"/>
        <w:ind w:left="380" w:right="260"/>
        <w:spacing w:after="0" w:line="238" w:lineRule="auto"/>
        <w:rPr>
          <w:sz w:val="20"/>
          <w:szCs w:val="20"/>
          <w:color w:val="auto"/>
        </w:rPr>
      </w:pPr>
      <w:r>
        <w:rPr>
          <w:rFonts w:ascii="Arial" w:cs="Arial" w:eastAsia="Arial" w:hAnsi="Arial"/>
          <w:sz w:val="18"/>
          <w:szCs w:val="18"/>
          <w:b w:val="1"/>
          <w:bCs w:val="1"/>
          <w:color w:val="auto"/>
        </w:rPr>
        <w:t>do not timely accept your Award, it will be forfeited to and cancelled by the Company. To accept your award, sign the electronic document through your participant portal at [__]. Your electronic acceptance operates as your signature and creates a valid agreement as between you and the Company.</w:t>
      </w:r>
    </w:p>
    <w:p>
      <w:pPr>
        <w:spacing w:after="0" w:line="200" w:lineRule="exact"/>
        <w:rPr>
          <w:sz w:val="20"/>
          <w:szCs w:val="20"/>
          <w:color w:val="auto"/>
        </w:rPr>
      </w:pPr>
    </w:p>
    <w:p>
      <w:pPr>
        <w:spacing w:after="0" w:line="364"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5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Attachment: 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180"/>
          </w:cols>
          <w:pgMar w:left="320" w:top="1423" w:right="39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color w:val="auto"/>
        </w:rPr>
        <w:t>RENASANT CORPORATION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LONG-TERM INCENTIVE COMPENSATION PLAN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INCENTIVE AGREEMENT - [__] RESTRICTED STOCK AWARD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Appendix A - Covenants</w:t>
      </w:r>
    </w:p>
    <w:p>
      <w:pPr>
        <w:spacing w:after="0" w:line="229"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When you accept your Award, you agree that you will be subject to the covenants and remedies contained in this Appendix A (each a “Covenant,” collectively, the “Covenants”) and that the making of your Award is adequate consideration for the Covenants. If you are also a party</w:t>
      </w:r>
    </w:p>
    <w:p>
      <w:pPr>
        <w:spacing w:after="0" w:line="1"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to an employment, change in control or similar individual agreement that includes covenants in favor of the Company and its subsidiaries and affiliates, the terms of your individual agreement will govern.</w:t>
      </w:r>
    </w:p>
    <w:p>
      <w:pPr>
        <w:spacing w:after="0" w:line="202" w:lineRule="exact"/>
        <w:rPr>
          <w:sz w:val="20"/>
          <w:szCs w:val="20"/>
          <w:color w:val="auto"/>
        </w:rPr>
      </w:pPr>
    </w:p>
    <w:p>
      <w:pPr>
        <w:jc w:val="both"/>
        <w:ind w:firstLine="5"/>
        <w:spacing w:after="0" w:line="230" w:lineRule="auto"/>
        <w:tabs>
          <w:tab w:leader="none" w:pos="208"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Protection of Confidential Information. </w:t>
      </w:r>
      <w:r>
        <w:rPr>
          <w:rFonts w:ascii="Arial" w:cs="Arial" w:eastAsia="Arial" w:hAnsi="Arial"/>
          <w:sz w:val="18"/>
          <w:szCs w:val="18"/>
          <w:color w:val="auto"/>
        </w:rPr>
        <w:t>You acknowledge that you have access to or possess Confidential Information (as defined below)</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concerning the Company and its subsidiaries and affiliates, including Renasant Bank and any predecessor to the Company or Renasant Bank (collectively, the “Protected Entities”). You agree that Confidential Information is integral to the business and operations of the Protected Entities, that the Protected Entities have a legitimate business interest in the protection and use of Confidential Information, and that Confidential Information is the sole property of and owned by the Protected Entities. You agree that during the term of your employment and the 12-month period following the date you Separate From Service, regardless of the reason for your separation (the “Covenant Period”), you will not at any time make any independent use of, or disclose to any other person or organization, any Confidential Information, </w:t>
      </w:r>
      <w:r>
        <w:rPr>
          <w:rFonts w:ascii="Arial" w:cs="Arial" w:eastAsia="Arial" w:hAnsi="Arial"/>
          <w:sz w:val="18"/>
          <w:szCs w:val="18"/>
          <w:u w:val="single" w:color="auto"/>
          <w:color w:val="auto"/>
        </w:rPr>
        <w:t>except</w:t>
      </w:r>
      <w:r>
        <w:rPr>
          <w:rFonts w:ascii="Arial" w:cs="Arial" w:eastAsia="Arial" w:hAnsi="Arial"/>
          <w:sz w:val="18"/>
          <w:szCs w:val="18"/>
          <w:color w:val="auto"/>
        </w:rPr>
        <w:t>: (i) as may be expressly authorized in writing by the Company; (ii) as may be required by law or legal process; or (iii) if and to the extent the information shall have become public information, other than on account of your breach of this Covenant. Unless prohibited by law, you agree to furnish to the General Counsel of the Company written notice of legal process or other demand for disclosure, including a copy of all relevant documents, and you agree to cooperate fully with the Company to object to or to limit such disclosure or to place such disclosure under seal, at the Company’s sole expense. Unless impracticable under the facts and circumstances, you agree to provide notice not less than five days prior to the date on which disclosure must otherwise be made.</w:t>
      </w:r>
    </w:p>
    <w:p>
      <w:pPr>
        <w:spacing w:after="0" w:line="2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 xml:space="preserve">Notwithstanding the foregoing, you (either directly or through counsel) may, without prior notice to or the consent of the Company, disclose in good faith Confidential Information: (i) in confidence to a federal, state or local government agency or regulatory authority or self-regulatory authority (including the SEC, the Financial Industry Regulatory Authority, the Equal Employment Opportunity Commission or the National Labor Relations Board) for the sole purpose of reporting or investigating a suspected violation of law or regulation or otherwise making disclosures protected under whistleblower or other provisions of applicable federal or state law or regulations; or (ii) in a complaint or other document filed in a lawsuit or proceeding alleging a violation of law if filed under seal;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nothing contained herein shall permit your disclosure to any third party (including any government official or your attorney) any communications that are protected by the attorney/client privilege in favor of the Protected Entities. Furthermore, you are not required to notify the Company after you have made any such disclosures.</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term “Confidential Information” refers to confidential, proprietary, non-public information created or maintained by the Protected Entities, whether or not considered a “trade secret” under applicable law and regardless of the form in which maintained, which may include, without limitation: (i) books, records and policies relating to operations, finance, accounting, personnel and management; (ii) information related to any</w:t>
      </w:r>
    </w:p>
    <w:p>
      <w:pPr>
        <w:spacing w:after="0" w:line="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business entered into by the Protected Entities; (iii) credit policies and practices, databases, customer and prospective customer lists, depositor and prospective depositor lists, and information obtained on competitors and tactics; (iv) various other non-public trade or business information,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including business opportunities and expansion or acquisition strategies, marketing, business diversification plans, methods and processes; and</w:t>
      </w:r>
    </w:p>
    <w:p>
      <w:pPr>
        <w:spacing w:after="0" w:line="13" w:lineRule="exact"/>
        <w:rPr>
          <w:sz w:val="20"/>
          <w:szCs w:val="20"/>
          <w:color w:val="auto"/>
        </w:rPr>
      </w:pPr>
    </w:p>
    <w:p>
      <w:pPr>
        <w:jc w:val="both"/>
        <w:ind w:firstLine="5"/>
        <w:spacing w:after="0" w:line="235" w:lineRule="auto"/>
        <w:tabs>
          <w:tab w:leader="none" w:pos="269"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retail marketing and operating policies and practices, including without limitation, policies and practices concerning the identity, solicitation, acquisition, management, resale or cancellation of unsecured or secured credit card accounts, loan or lease accounts, other accounts relating to consumer products and services and depository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40"/>
          </w:cols>
          <w:pgMar w:left="320" w:top="1371" w:right="339" w:bottom="1440" w:gutter="0" w:footer="0" w:header="0"/>
        </w:sectPr>
      </w:pPr>
    </w:p>
    <w:bookmarkStart w:id="164" w:name="page165"/>
    <w:bookmarkEnd w:id="164"/>
    <w:p>
      <w:pPr>
        <w:jc w:val="both"/>
        <w:spacing w:after="0" w:line="238" w:lineRule="auto"/>
        <w:rPr>
          <w:sz w:val="20"/>
          <w:szCs w:val="20"/>
          <w:color w:val="auto"/>
        </w:rPr>
      </w:pPr>
      <w:r>
        <w:rPr>
          <w:rFonts w:ascii="Arial" w:cs="Arial" w:eastAsia="Arial" w:hAnsi="Arial"/>
          <w:sz w:val="18"/>
          <w:szCs w:val="18"/>
          <w:color w:val="auto"/>
        </w:rPr>
        <w:t>This paragraph 1 shall be read in conjunction with any provision regarding the protection of Confidential Information included in the Renasant Bank Employee Manual, the Renasant Corporation Code of Business Conduct and Ethics or any other policy of the Protected Entities to which you are subject. In the event of a conflict between the terms of this Covenant and any other obligation to which you are subject, the more restrictive provision shall be controlling.</w:t>
      </w:r>
    </w:p>
    <w:p>
      <w:pPr>
        <w:spacing w:after="0" w:line="203" w:lineRule="exact"/>
        <w:rPr>
          <w:sz w:val="20"/>
          <w:szCs w:val="20"/>
          <w:color w:val="auto"/>
        </w:rPr>
      </w:pPr>
    </w:p>
    <w:p>
      <w:pPr>
        <w:jc w:val="both"/>
        <w:ind w:firstLine="5"/>
        <w:spacing w:after="0" w:line="243" w:lineRule="auto"/>
        <w:tabs>
          <w:tab w:leader="none" w:pos="195"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Agreement Not to Solicit. </w:t>
      </w:r>
      <w:r>
        <w:rPr>
          <w:rFonts w:ascii="Arial" w:cs="Arial" w:eastAsia="Arial" w:hAnsi="Arial"/>
          <w:sz w:val="18"/>
          <w:szCs w:val="18"/>
          <w:color w:val="auto"/>
        </w:rPr>
        <w:t>You agree that if you separate from service at any time on or prior to the Settlement Date (that is, the first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day following the end of the Service Period), then for the 12-month period following the date of your separation you will not, directly or indirectly, whether for your own benefit, on behalf of another, or otherwise to the detriment of the Protected Entities:</w:t>
      </w:r>
    </w:p>
    <w:p>
      <w:pPr>
        <w:spacing w:after="0" w:line="189" w:lineRule="exact"/>
        <w:rPr>
          <w:rFonts w:ascii="Arial" w:cs="Arial" w:eastAsia="Arial" w:hAnsi="Arial"/>
          <w:sz w:val="18"/>
          <w:szCs w:val="18"/>
          <w:b w:val="1"/>
          <w:bCs w:val="1"/>
          <w:color w:val="auto"/>
        </w:rPr>
      </w:pPr>
    </w:p>
    <w:p>
      <w:pPr>
        <w:jc w:val="both"/>
        <w:ind w:firstLine="637"/>
        <w:spacing w:after="0" w:line="242" w:lineRule="auto"/>
        <w:tabs>
          <w:tab w:leader="none" w:pos="934" w:val="left"/>
        </w:tabs>
        <w:numPr>
          <w:ilvl w:val="1"/>
          <w:numId w:val="64"/>
        </w:numPr>
        <w:rPr>
          <w:rFonts w:ascii="Arial" w:cs="Arial" w:eastAsia="Arial" w:hAnsi="Arial"/>
          <w:sz w:val="18"/>
          <w:szCs w:val="18"/>
          <w:color w:val="auto"/>
        </w:rPr>
      </w:pPr>
      <w:r>
        <w:rPr>
          <w:rFonts w:ascii="Arial" w:cs="Arial" w:eastAsia="Arial" w:hAnsi="Arial"/>
          <w:sz w:val="18"/>
          <w:szCs w:val="18"/>
          <w:color w:val="auto"/>
        </w:rPr>
        <w:t>Solicit for any business purpose, hire or offer to hire, or participate in the business solicitation or hiring of, any officer or employee of the Protected Entities; for this purpose, the term “officer or employee” shall include any officer or employee of the Protected Entities who is a current employee as of the date of your separation or who was employed during the six-month period preceding your separation.</w:t>
      </w:r>
    </w:p>
    <w:p>
      <w:pPr>
        <w:spacing w:after="0" w:line="202" w:lineRule="exact"/>
        <w:rPr>
          <w:rFonts w:ascii="Arial" w:cs="Arial" w:eastAsia="Arial" w:hAnsi="Arial"/>
          <w:sz w:val="18"/>
          <w:szCs w:val="18"/>
          <w:color w:val="auto"/>
        </w:rPr>
      </w:pPr>
    </w:p>
    <w:p>
      <w:pPr>
        <w:ind w:firstLine="637"/>
        <w:spacing w:after="0" w:line="256" w:lineRule="auto"/>
        <w:tabs>
          <w:tab w:leader="none" w:pos="967" w:val="left"/>
        </w:tabs>
        <w:numPr>
          <w:ilvl w:val="1"/>
          <w:numId w:val="64"/>
        </w:numPr>
        <w:rPr>
          <w:rFonts w:ascii="Arial" w:cs="Arial" w:eastAsia="Arial" w:hAnsi="Arial"/>
          <w:sz w:val="18"/>
          <w:szCs w:val="18"/>
          <w:color w:val="auto"/>
        </w:rPr>
      </w:pPr>
      <w:r>
        <w:rPr>
          <w:rFonts w:ascii="Arial" w:cs="Arial" w:eastAsia="Arial" w:hAnsi="Arial"/>
          <w:sz w:val="18"/>
          <w:szCs w:val="18"/>
          <w:color w:val="auto"/>
        </w:rPr>
        <w:t>Persuade, or attempt to persuade, in any manner any officer, employee, agent or consultant of Protected Entities to discontinue any business relationship with the Protected Entities.</w:t>
      </w:r>
    </w:p>
    <w:p>
      <w:pPr>
        <w:spacing w:after="0" w:line="190" w:lineRule="exact"/>
        <w:rPr>
          <w:rFonts w:ascii="Arial" w:cs="Arial" w:eastAsia="Arial" w:hAnsi="Arial"/>
          <w:sz w:val="18"/>
          <w:szCs w:val="18"/>
          <w:color w:val="auto"/>
        </w:rPr>
      </w:pPr>
    </w:p>
    <w:p>
      <w:pPr>
        <w:jc w:val="both"/>
        <w:ind w:firstLine="637"/>
        <w:spacing w:after="0" w:line="235" w:lineRule="auto"/>
        <w:tabs>
          <w:tab w:leader="none" w:pos="1148" w:val="left"/>
        </w:tabs>
        <w:numPr>
          <w:ilvl w:val="1"/>
          <w:numId w:val="64"/>
        </w:numPr>
        <w:rPr>
          <w:rFonts w:ascii="Arial" w:cs="Arial" w:eastAsia="Arial" w:hAnsi="Arial"/>
          <w:sz w:val="18"/>
          <w:szCs w:val="18"/>
          <w:color w:val="auto"/>
        </w:rPr>
      </w:pPr>
      <w:r>
        <w:rPr>
          <w:rFonts w:ascii="Arial" w:cs="Arial" w:eastAsia="Arial" w:hAnsi="Arial"/>
          <w:sz w:val="18"/>
          <w:szCs w:val="18"/>
          <w:color w:val="auto"/>
        </w:rPr>
        <w:t>Solicit or divert, or attempt to solicit or divert, any borrower, depositor or other customer of the Protected Entities (each a “Customer”), whether: (x) a current Customer as of your separation date; (y) a Customer during the six-months preceding your separation date; or (z) a prospective or potential Customer with respect to which the Protected Entities have expended material efforts to solicit before your separation. For this purpose, the terms “Customer” shall refer only to those Customers doing business with the Protected Entities (or solicited for business) in the state in which you are employed. This will not be enforced against you (whether by the Company or a successor) if your Separation From Service occurs on or after the consummation of a Change in Control.</w:t>
      </w:r>
    </w:p>
    <w:p>
      <w:pPr>
        <w:spacing w:after="0" w:line="203" w:lineRule="exact"/>
        <w:rPr>
          <w:rFonts w:ascii="Arial" w:cs="Arial" w:eastAsia="Arial" w:hAnsi="Arial"/>
          <w:sz w:val="18"/>
          <w:szCs w:val="18"/>
          <w:color w:val="auto"/>
        </w:rPr>
      </w:pPr>
    </w:p>
    <w:p>
      <w:pPr>
        <w:jc w:val="both"/>
        <w:ind w:firstLine="5"/>
        <w:spacing w:after="0" w:line="272" w:lineRule="auto"/>
        <w:tabs>
          <w:tab w:leader="none" w:pos="234"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Reformation. </w:t>
      </w:r>
      <w:r>
        <w:rPr>
          <w:rFonts w:ascii="Arial" w:cs="Arial" w:eastAsia="Arial" w:hAnsi="Arial"/>
          <w:sz w:val="16"/>
          <w:szCs w:val="16"/>
          <w:color w:val="auto"/>
        </w:rPr>
        <w:t>You agree that each Covenant is intended to be a separate restriction. Should any Covenant be declared invalid or</w:t>
      </w:r>
      <w:r>
        <w:rPr>
          <w:rFonts w:ascii="Arial" w:cs="Arial" w:eastAsia="Arial" w:hAnsi="Arial"/>
          <w:sz w:val="16"/>
          <w:szCs w:val="16"/>
          <w:b w:val="1"/>
          <w:bCs w:val="1"/>
          <w:color w:val="auto"/>
        </w:rPr>
        <w:t xml:space="preserve"> </w:t>
      </w:r>
      <w:r>
        <w:rPr>
          <w:rFonts w:ascii="Arial" w:cs="Arial" w:eastAsia="Arial" w:hAnsi="Arial"/>
          <w:sz w:val="16"/>
          <w:szCs w:val="16"/>
          <w:color w:val="auto"/>
        </w:rPr>
        <w:t>unenforceable, the Covenant shall be deemed severable from and shall not affect the remainder. You also agree that each of the Covenants is reasonable. If and to the extent a court of competent jurisdiction determines that any Covenant is unreasonable, you agree that the Covenant shall be enforced to the fullest extent deemed reasonable and be considered reformed to the extent necessary to permit such enforcement.</w:t>
      </w:r>
    </w:p>
    <w:p>
      <w:pPr>
        <w:spacing w:after="0" w:line="179" w:lineRule="exact"/>
        <w:rPr>
          <w:rFonts w:ascii="Arial" w:cs="Arial" w:eastAsia="Arial" w:hAnsi="Arial"/>
          <w:sz w:val="16"/>
          <w:szCs w:val="16"/>
          <w:b w:val="1"/>
          <w:bCs w:val="1"/>
          <w:color w:val="auto"/>
        </w:rPr>
      </w:pPr>
    </w:p>
    <w:p>
      <w:pPr>
        <w:ind w:firstLine="5"/>
        <w:spacing w:after="0" w:line="258" w:lineRule="auto"/>
        <w:tabs>
          <w:tab w:leader="none" w:pos="195"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Remedies. </w:t>
      </w:r>
      <w:r>
        <w:rPr>
          <w:rFonts w:ascii="Arial" w:cs="Arial" w:eastAsia="Arial" w:hAnsi="Arial"/>
          <w:sz w:val="18"/>
          <w:szCs w:val="18"/>
          <w:color w:val="auto"/>
        </w:rPr>
        <w:t>In the event you breach or threaten a breach of any Covenant, you agree that the Protected Entities shall be entitled to seek an</w:t>
      </w:r>
      <w:r>
        <w:rPr>
          <w:rFonts w:ascii="Arial" w:cs="Arial" w:eastAsia="Arial" w:hAnsi="Arial"/>
          <w:sz w:val="18"/>
          <w:szCs w:val="18"/>
          <w:b w:val="1"/>
          <w:bCs w:val="1"/>
          <w:color w:val="auto"/>
        </w:rPr>
        <w:t xml:space="preserve"> </w:t>
      </w:r>
      <w:r>
        <w:rPr>
          <w:rFonts w:ascii="Arial" w:cs="Arial" w:eastAsia="Arial" w:hAnsi="Arial"/>
          <w:sz w:val="18"/>
          <w:szCs w:val="18"/>
          <w:color w:val="auto"/>
        </w:rPr>
        <w:t>injunction without the necessity of posting bond, whether a temporary, preliminary or permanent injunction.</w:t>
      </w:r>
    </w:p>
    <w:p>
      <w:pPr>
        <w:spacing w:after="0" w:line="18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You further agree that in the event of a breach, you will forfeit, without consideration, any and all Equity Awards that are not then vested and you will, upon demand, return Common Stock attributable to an Equity Award that has vested and been settled, net of any taxes you have paid (or if you have disposed of the shares, the cash proceeds of the disposition net of any taxes you have paid). For this purpose, the term “Equity Award” refers to the grant or award of Common Stock made to you by the Company on or after the date of the Incentive Agreement attached to this Appendix A.</w:t>
      </w:r>
    </w:p>
    <w:p>
      <w:pPr>
        <w:spacing w:after="0" w:line="204" w:lineRule="exact"/>
        <w:rPr>
          <w:sz w:val="20"/>
          <w:szCs w:val="20"/>
          <w:color w:val="auto"/>
        </w:rPr>
      </w:pPr>
    </w:p>
    <w:p>
      <w:pPr>
        <w:jc w:val="both"/>
        <w:ind w:firstLine="5"/>
        <w:spacing w:after="0" w:line="243" w:lineRule="auto"/>
        <w:tabs>
          <w:tab w:leader="none" w:pos="195"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Assignment. </w:t>
      </w:r>
      <w:r>
        <w:rPr>
          <w:rFonts w:ascii="Arial" w:cs="Arial" w:eastAsia="Arial" w:hAnsi="Arial"/>
          <w:sz w:val="18"/>
          <w:szCs w:val="18"/>
          <w:color w:val="auto"/>
        </w:rPr>
        <w:t>The Covenants shall inure to the benefit of the Company, including its successors and assigns, whether by means of merger,</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sale of assets or similar transaction. Assignment of the Covenants in the event of any such transaction shall not notice or require your consent.</w:t>
      </w:r>
    </w:p>
    <w:p>
      <w:pPr>
        <w:spacing w:after="0" w:line="200" w:lineRule="exact"/>
        <w:rPr>
          <w:rFonts w:ascii="Arial" w:cs="Arial" w:eastAsia="Arial" w:hAnsi="Arial"/>
          <w:sz w:val="18"/>
          <w:szCs w:val="18"/>
          <w:b w:val="1"/>
          <w:bCs w:val="1"/>
          <w:color w:val="auto"/>
        </w:rPr>
      </w:pPr>
    </w:p>
    <w:p>
      <w:pPr>
        <w:ind w:firstLine="5"/>
        <w:spacing w:after="0" w:line="243" w:lineRule="auto"/>
        <w:tabs>
          <w:tab w:leader="none" w:pos="195"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Choice of Law. </w:t>
      </w:r>
      <w:r>
        <w:rPr>
          <w:rFonts w:ascii="Arial" w:cs="Arial" w:eastAsia="Arial" w:hAnsi="Arial"/>
          <w:sz w:val="18"/>
          <w:szCs w:val="18"/>
          <w:color w:val="auto"/>
        </w:rPr>
        <w:t>You understand and agree that the Covenants will be governed and construed by the internal laws of the State of Mississippi,</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regard to the conflicts of law provisions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240"/>
          </w:cols>
          <w:pgMar w:left="320" w:top="1373" w:right="339" w:bottom="1440" w:gutter="0" w:footer="0" w:header="0"/>
        </w:sectPr>
      </w:pPr>
    </w:p>
    <w:bookmarkStart w:id="165" w:name="page166"/>
    <w:bookmarkEnd w:id="165"/>
    <w:p>
      <w:pPr>
        <w:jc w:val="center"/>
        <w:spacing w:after="0" w:line="248" w:lineRule="auto"/>
        <w:rPr>
          <w:sz w:val="20"/>
          <w:szCs w:val="20"/>
          <w:color w:val="auto"/>
        </w:rPr>
      </w:pPr>
      <w:r>
        <w:rPr>
          <w:rFonts w:ascii="Arial" w:cs="Arial" w:eastAsia="Arial" w:hAnsi="Arial"/>
          <w:sz w:val="18"/>
          <w:szCs w:val="18"/>
          <w:b w:val="1"/>
          <w:bCs w:val="1"/>
          <w:color w:val="auto"/>
        </w:rPr>
        <w:t>You must accept your Award, including the Covenants, no later than 30 days after the date of the Incentive Agreement attached to this Appendix A. If you do not timely accept your Award, it will be forfeited to and cancelled by the Company. Your electronic acceptance operates as your signature and creates a valid agreement as between you and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-403225</wp:posOffset>
            </wp:positionV>
            <wp:extent cx="7052310" cy="4095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4">
                      <a:extLst>
                        <a:ext uri="{28A0092B-C50C-407E-A947-70E740481C1C}"/>
                      </a:extLst>
                    </a:blip>
                    <a:srcRect/>
                    <a:stretch>
                      <a:fillRect/>
                    </a:stretch>
                  </pic:blipFill>
                  <pic:spPr bwMode="auto">
                    <a:xfrm>
                      <a:off x="0" y="0"/>
                      <a:ext cx="7052310" cy="409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0800"/>
          </w:cols>
          <w:pgMar w:left="480" w:top="1423" w:right="61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8"/>
          <w:szCs w:val="18"/>
          <w:b w:val="1"/>
          <w:bCs w:val="1"/>
          <w:color w:val="auto"/>
        </w:rPr>
        <w:t>Exhibit (10)(xxviii)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RENASANT CORPORATION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LONG-TERM INCENTIVE COMPENSATION PLAN</w:t>
      </w:r>
    </w:p>
    <w:p>
      <w:pPr>
        <w:spacing w:after="0" w:line="209" w:lineRule="exact"/>
        <w:rPr>
          <w:sz w:val="20"/>
          <w:szCs w:val="20"/>
          <w:color w:val="auto"/>
        </w:rPr>
      </w:pPr>
    </w:p>
    <w:p>
      <w:pPr>
        <w:ind w:right="5060"/>
        <w:spacing w:after="0" w:line="268" w:lineRule="auto"/>
        <w:rPr>
          <w:sz w:val="20"/>
          <w:szCs w:val="20"/>
          <w:color w:val="auto"/>
        </w:rPr>
      </w:pPr>
      <w:r>
        <w:rPr>
          <w:rFonts w:ascii="Arial" w:cs="Arial" w:eastAsia="Arial" w:hAnsi="Arial"/>
          <w:sz w:val="18"/>
          <w:szCs w:val="18"/>
          <w:b w:val="1"/>
          <w:bCs w:val="1"/>
          <w:color w:val="auto"/>
        </w:rPr>
        <w:t>EMPLOYEE INCENTIVE AGREEMENT – [__] RESTRICTED STOCK AWARD Performance-Based Shares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p>
    <w:p>
      <w:pPr>
        <w:spacing w:after="0" w:line="238" w:lineRule="auto"/>
        <w:rPr>
          <w:sz w:val="20"/>
          <w:szCs w:val="20"/>
          <w:color w:val="auto"/>
        </w:rPr>
      </w:pPr>
      <w:r>
        <w:rPr>
          <w:rFonts w:ascii="Arial" w:cs="Arial" w:eastAsia="Arial" w:hAnsi="Arial"/>
          <w:sz w:val="18"/>
          <w:szCs w:val="18"/>
          <w:b w:val="1"/>
          <w:bCs w:val="1"/>
          <w:color w:val="auto"/>
        </w:rPr>
        <w:t>Award Date:</w:t>
      </w:r>
    </w:p>
    <w:p>
      <w:pPr>
        <w:spacing w:after="0" w:line="214" w:lineRule="auto"/>
        <w:rPr>
          <w:sz w:val="20"/>
          <w:szCs w:val="20"/>
          <w:color w:val="auto"/>
        </w:rPr>
      </w:pPr>
      <w:r>
        <w:rPr>
          <w:rFonts w:ascii="Arial" w:cs="Arial" w:eastAsia="Arial" w:hAnsi="Arial"/>
          <w:sz w:val="18"/>
          <w:szCs w:val="18"/>
          <w:b w:val="1"/>
          <w:bCs w:val="1"/>
          <w:color w:val="auto"/>
        </w:rPr>
        <w:t>Performance Cycle:</w:t>
      </w:r>
    </w:p>
    <w:p>
      <w:pPr>
        <w:spacing w:after="0" w:line="229" w:lineRule="auto"/>
        <w:rPr>
          <w:sz w:val="20"/>
          <w:szCs w:val="20"/>
          <w:color w:val="auto"/>
        </w:rPr>
      </w:pPr>
      <w:r>
        <w:rPr>
          <w:rFonts w:ascii="Arial" w:cs="Arial" w:eastAsia="Arial" w:hAnsi="Arial"/>
          <w:sz w:val="18"/>
          <w:szCs w:val="18"/>
          <w:b w:val="1"/>
          <w:bCs w:val="1"/>
          <w:color w:val="auto"/>
        </w:rPr>
        <w:t>Number of Target Shares:</w:t>
      </w:r>
    </w:p>
    <w:p>
      <w:pPr>
        <w:spacing w:after="0"/>
        <w:rPr>
          <w:sz w:val="20"/>
          <w:szCs w:val="20"/>
          <w:color w:val="auto"/>
        </w:rPr>
      </w:pPr>
      <w:r>
        <w:rPr>
          <w:rFonts w:ascii="Arial" w:cs="Arial" w:eastAsia="Arial" w:hAnsi="Arial"/>
          <w:sz w:val="18"/>
          <w:szCs w:val="18"/>
          <w:b w:val="1"/>
          <w:bCs w:val="1"/>
          <w:color w:val="auto"/>
        </w:rPr>
        <w:t>Date of this Incentive Agreement:</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Compensation Committee of the Board of Directors (the “Committee”) of Renasant Corporation (the “Company”), which administers the Renasant Corporation 2020 Long-Term Incentive Compensation Plan, as amended (the “LTIP”), has awarded to you shares of the Company’s $5.00 par value common stock (“Common Stock”), subject to the terms and conditions set forth below (your “Award”). This Incentive Agreement is intended to provide you with the material terms and conditions of your Award and is qualified in its entirety by the terms of the LTIP. A copy of the prospectus for the LTIP is available through your participant portal at [__]</w:t>
      </w:r>
      <w:r>
        <w:rPr>
          <w:rFonts w:ascii="Arial" w:cs="Arial" w:eastAsia="Arial" w:hAnsi="Arial"/>
          <w:sz w:val="16"/>
          <w:szCs w:val="16"/>
          <w:b w:val="1"/>
          <w:bCs w:val="1"/>
          <w:color w:val="auto"/>
        </w:rPr>
        <w:t>;</w:t>
      </w:r>
      <w:r>
        <w:rPr>
          <w:rFonts w:ascii="Arial" w:cs="Arial" w:eastAsia="Arial" w:hAnsi="Arial"/>
          <w:sz w:val="16"/>
          <w:szCs w:val="16"/>
          <w:color w:val="auto"/>
        </w:rPr>
        <w:t xml:space="preserve"> you can obtain the complete LTIP documents by contacting [__] at [__] or at [__]. Unless otherwise defined, capitalized terms used below have the meanings ascribed to them in the LTIP.</w:t>
      </w:r>
    </w:p>
    <w:p>
      <w:pPr>
        <w:spacing w:after="0" w:line="234" w:lineRule="exact"/>
        <w:rPr>
          <w:sz w:val="20"/>
          <w:szCs w:val="20"/>
          <w:color w:val="auto"/>
        </w:rPr>
      </w:pPr>
    </w:p>
    <w:p>
      <w:pPr>
        <w:jc w:val="center"/>
        <w:ind w:right="20"/>
        <w:spacing w:after="0" w:line="248" w:lineRule="auto"/>
        <w:rPr>
          <w:sz w:val="20"/>
          <w:szCs w:val="20"/>
          <w:color w:val="auto"/>
        </w:rPr>
      </w:pPr>
      <w:r>
        <w:rPr>
          <w:rFonts w:ascii="Arial" w:cs="Arial" w:eastAsia="Arial" w:hAnsi="Arial"/>
          <w:sz w:val="18"/>
          <w:szCs w:val="18"/>
          <w:b w:val="1"/>
          <w:bCs w:val="1"/>
          <w:color w:val="auto"/>
        </w:rPr>
        <w:t xml:space="preserve">Your agreement and acceptance of covenants protecting the Company’s confidential information and prohibiting the solicitation of its employees, borrowers and depositors and other customers is a condition of your Award. Please review the covenants included in Appendix B to this Incentive Agreement and contact </w:t>
      </w:r>
      <w:r>
        <w:rPr>
          <w:rFonts w:ascii="Arial" w:cs="Arial" w:eastAsia="Arial" w:hAnsi="Arial"/>
          <w:sz w:val="18"/>
          <w:szCs w:val="18"/>
          <w:color w:val="auto"/>
        </w:rPr>
        <w:t>[__]</w:t>
      </w:r>
      <w:r>
        <w:rPr>
          <w:rFonts w:ascii="Arial" w:cs="Arial" w:eastAsia="Arial" w:hAnsi="Arial"/>
          <w:sz w:val="18"/>
          <w:szCs w:val="18"/>
          <w:b w:val="1"/>
          <w:bCs w:val="1"/>
          <w:color w:val="auto"/>
        </w:rPr>
        <w:t xml:space="preserve"> with any questions before you accept your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-403225</wp:posOffset>
            </wp:positionV>
            <wp:extent cx="7118985" cy="4095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5">
                      <a:extLst>
                        <a:ext uri="{28A0092B-C50C-407E-A947-70E740481C1C}"/>
                      </a:extLst>
                    </a:blip>
                    <a:srcRect/>
                    <a:stretch>
                      <a:fillRect/>
                    </a:stretch>
                  </pic:blipFill>
                  <pic:spPr bwMode="auto">
                    <a:xfrm>
                      <a:off x="0" y="0"/>
                      <a:ext cx="7118985" cy="409575"/>
                    </a:xfrm>
                    <a:prstGeom prst="rect">
                      <a:avLst/>
                    </a:prstGeom>
                    <a:noFill/>
                  </pic:spPr>
                </pic:pic>
              </a:graphicData>
            </a:graphic>
          </wp:anchor>
        </w:drawing>
      </w:r>
    </w:p>
    <w:p>
      <w:pPr>
        <w:spacing w:after="0" w:line="273" w:lineRule="exact"/>
        <w:rPr>
          <w:sz w:val="20"/>
          <w:szCs w:val="20"/>
          <w:color w:val="auto"/>
        </w:rPr>
      </w:pPr>
    </w:p>
    <w:p>
      <w:pPr>
        <w:jc w:val="both"/>
        <w:ind w:firstLine="5"/>
        <w:spacing w:after="0" w:line="237" w:lineRule="auto"/>
        <w:tabs>
          <w:tab w:leader="none" w:pos="195"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Award. </w:t>
      </w:r>
      <w:r>
        <w:rPr>
          <w:rFonts w:ascii="Arial" w:cs="Arial" w:eastAsia="Arial" w:hAnsi="Arial"/>
          <w:sz w:val="18"/>
          <w:szCs w:val="18"/>
          <w:color w:val="auto"/>
        </w:rPr>
        <w:t>As of the Award Date (specified above), the Company has issued in your name the aggregate number of shares of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representing your Target Shares (specified above). During the Performance Cycle (specified above), your Target Shares cannot be sold, assigned, transferred, pledged, hypothecated, mortgaged or otherwise disposed of, whether voluntarily or involuntarily, by operation of law or otherwise (the “Forfeiture Restrictions”). Target Shares are issued in book entry form and may be certificated only after the shares vest and the Forfeiture Restrictions lapse.</w:t>
      </w:r>
    </w:p>
    <w:p>
      <w:pPr>
        <w:spacing w:after="0" w:line="201" w:lineRule="exact"/>
        <w:rPr>
          <w:rFonts w:ascii="Arial" w:cs="Arial" w:eastAsia="Arial" w:hAnsi="Arial"/>
          <w:sz w:val="18"/>
          <w:szCs w:val="18"/>
          <w:b w:val="1"/>
          <w:bCs w:val="1"/>
          <w:color w:val="auto"/>
        </w:rPr>
      </w:pPr>
    </w:p>
    <w:p>
      <w:pPr>
        <w:jc w:val="both"/>
        <w:ind w:firstLine="5"/>
        <w:spacing w:after="0" w:line="237" w:lineRule="auto"/>
        <w:tabs>
          <w:tab w:leader="none" w:pos="195"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Performance Objectives. </w:t>
      </w:r>
      <w:r>
        <w:rPr>
          <w:rFonts w:ascii="Arial" w:cs="Arial" w:eastAsia="Arial" w:hAnsi="Arial"/>
          <w:sz w:val="18"/>
          <w:szCs w:val="18"/>
          <w:color w:val="auto"/>
        </w:rPr>
        <w:t>Your Award is made contingent on the attainment of specified Performance Objectives (described in Appendix A to</w:t>
      </w:r>
      <w:r>
        <w:rPr>
          <w:rFonts w:ascii="Arial" w:cs="Arial" w:eastAsia="Arial" w:hAnsi="Arial"/>
          <w:sz w:val="18"/>
          <w:szCs w:val="18"/>
          <w:b w:val="1"/>
          <w:bCs w:val="1"/>
          <w:color w:val="auto"/>
        </w:rPr>
        <w:t xml:space="preserve"> </w:t>
      </w:r>
      <w:r>
        <w:rPr>
          <w:rFonts w:ascii="Arial" w:cs="Arial" w:eastAsia="Arial" w:hAnsi="Arial"/>
          <w:sz w:val="18"/>
          <w:szCs w:val="18"/>
          <w:color w:val="auto"/>
        </w:rPr>
        <w:t>this Incentive Agreement). At the end of the Performance Cycle, the Committee certifies whether and to what extent Performance Objectives for the cycle have been attained. The number of your Target Shares will then be adjusted (increased or decreased) based on the Committee’s certification. The Committee may further adjust the number of your shares, in its discretion, as may be necessary or appropriate to more accurately reflect your performance or the performance of the Company or Renasant Bank.</w:t>
      </w:r>
    </w:p>
    <w:p>
      <w:pPr>
        <w:spacing w:after="0" w:line="201" w:lineRule="exact"/>
        <w:rPr>
          <w:rFonts w:ascii="Arial" w:cs="Arial" w:eastAsia="Arial" w:hAnsi="Arial"/>
          <w:sz w:val="18"/>
          <w:szCs w:val="18"/>
          <w:b w:val="1"/>
          <w:bCs w:val="1"/>
          <w:color w:val="auto"/>
        </w:rPr>
      </w:pPr>
    </w:p>
    <w:p>
      <w:pPr>
        <w:jc w:val="both"/>
        <w:ind w:firstLine="5"/>
        <w:spacing w:after="0" w:line="232" w:lineRule="auto"/>
        <w:tabs>
          <w:tab w:leader="none" w:pos="195"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Nature of Ownership; Shareholder Rights. </w:t>
      </w:r>
      <w:r>
        <w:rPr>
          <w:rFonts w:ascii="Arial" w:cs="Arial" w:eastAsia="Arial" w:hAnsi="Arial"/>
          <w:sz w:val="18"/>
          <w:szCs w:val="18"/>
          <w:color w:val="auto"/>
        </w:rPr>
        <w:t>During the Performance Cycle, you will possess the right to vote your Target Shares and receive</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dividends in respect of these shares paid in the form of Common Stock as and when declared by the Company’s Board of Directors; provided that Common Stock issued in respect of a dividend, if any, will be subject to the limitations set forth in this Incentive Agreement. All other shareholder rights, including the right to receive cash dividends or to receive a liquidating or similar distribution if the Company were liquidated or dissolved, will be applicable after your Award is vested and settled. If during the Performance Cycle cash dividends are declared and paid on Common Stock, a book account maintained in your name will be credited with an amount representing the dividends otherwise payable on your Award Shares (“Dividend Equivalents”).</w:t>
      </w:r>
    </w:p>
    <w:p>
      <w:pPr>
        <w:spacing w:after="0" w:line="204" w:lineRule="exact"/>
        <w:rPr>
          <w:rFonts w:ascii="Arial" w:cs="Arial" w:eastAsia="Arial" w:hAnsi="Arial"/>
          <w:sz w:val="18"/>
          <w:szCs w:val="18"/>
          <w:b w:val="1"/>
          <w:bCs w:val="1"/>
          <w:color w:val="auto"/>
        </w:rPr>
      </w:pPr>
    </w:p>
    <w:p>
      <w:pPr>
        <w:jc w:val="both"/>
        <w:ind w:firstLine="5"/>
        <w:spacing w:after="0" w:line="239" w:lineRule="auto"/>
        <w:tabs>
          <w:tab w:leader="none" w:pos="208"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Settlement. </w:t>
      </w:r>
      <w:r>
        <w:rPr>
          <w:rFonts w:ascii="Arial" w:cs="Arial" w:eastAsia="Arial" w:hAnsi="Arial"/>
          <w:sz w:val="18"/>
          <w:szCs w:val="18"/>
          <w:color w:val="auto"/>
        </w:rPr>
        <w:t>Your Award will be settled as of the first business day following the end of the cycle (the “Settlement Date”),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provided that</w:t>
      </w:r>
      <w:r>
        <w:rPr>
          <w:rFonts w:ascii="Arial" w:cs="Arial" w:eastAsia="Arial" w:hAnsi="Arial"/>
          <w:sz w:val="18"/>
          <w:szCs w:val="18"/>
          <w:b w:val="1"/>
          <w:bCs w:val="1"/>
          <w:color w:val="auto"/>
        </w:rPr>
        <w:t xml:space="preserve"> </w:t>
      </w:r>
      <w:r>
        <w:rPr>
          <w:rFonts w:ascii="Arial" w:cs="Arial" w:eastAsia="Arial" w:hAnsi="Arial"/>
          <w:sz w:val="18"/>
          <w:szCs w:val="18"/>
          <w:color w:val="auto"/>
        </w:rPr>
        <w:t>you</w:t>
      </w:r>
      <w:r>
        <w:rPr>
          <w:rFonts w:ascii="Arial" w:cs="Arial" w:eastAsia="Arial" w:hAnsi="Arial"/>
          <w:sz w:val="18"/>
          <w:szCs w:val="18"/>
          <w:b w:val="1"/>
          <w:bCs w:val="1"/>
          <w:color w:val="auto"/>
        </w:rPr>
        <w:t xml:space="preserve"> </w:t>
      </w:r>
      <w:r>
        <w:rPr>
          <w:rFonts w:ascii="Arial" w:cs="Arial" w:eastAsia="Arial" w:hAnsi="Arial"/>
          <w:sz w:val="18"/>
          <w:szCs w:val="18"/>
          <w:color w:val="auto"/>
        </w:rPr>
        <w:t>have been continuously employed by the Company or an affiliate and are then in good standing. When an Award is settled, the Forfeiture Restrictions will no longer apply to the settled shares, although the shares may be subject to the further holding period described in paragraph 8 of this Incentive Agreement. On the Settlement Date, Dividend Equivalents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1240"/>
          </w:cols>
          <w:pgMar w:left="320" w:top="119" w:right="339" w:bottom="1440" w:gutter="0" w:footer="0" w:header="0"/>
        </w:sectPr>
      </w:pPr>
    </w:p>
    <w:bookmarkStart w:id="167" w:name="page168"/>
    <w:bookmarkEnd w:id="167"/>
    <w:p>
      <w:pPr>
        <w:spacing w:after="0"/>
        <w:rPr>
          <w:sz w:val="20"/>
          <w:szCs w:val="20"/>
          <w:color w:val="auto"/>
        </w:rPr>
      </w:pPr>
      <w:r>
        <w:rPr>
          <w:rFonts w:ascii="Arial" w:cs="Arial" w:eastAsia="Arial" w:hAnsi="Arial"/>
          <w:sz w:val="16"/>
          <w:szCs w:val="16"/>
          <w:color w:val="auto"/>
        </w:rPr>
        <w:t>the vested and settled shares will be distributed in the form of cash, without liability for interest or investment gain during the Performance Cycle.</w:t>
      </w:r>
    </w:p>
    <w:p>
      <w:pPr>
        <w:spacing w:after="0" w:line="248" w:lineRule="exact"/>
        <w:rPr>
          <w:sz w:val="20"/>
          <w:szCs w:val="20"/>
          <w:color w:val="auto"/>
        </w:rPr>
      </w:pPr>
    </w:p>
    <w:p>
      <w:pPr>
        <w:jc w:val="both"/>
        <w:ind w:firstLine="5"/>
        <w:spacing w:after="0" w:line="235" w:lineRule="auto"/>
        <w:tabs>
          <w:tab w:leader="none" w:pos="208"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Separation From Service. </w:t>
      </w:r>
      <w:r>
        <w:rPr>
          <w:rFonts w:ascii="Arial" w:cs="Arial" w:eastAsia="Arial" w:hAnsi="Arial"/>
          <w:sz w:val="18"/>
          <w:szCs w:val="18"/>
          <w:color w:val="auto"/>
        </w:rPr>
        <w:t>If you Separate From Service (as defined in the LTIP) before the end of the Performance Cycle, your Target</w:t>
      </w:r>
      <w:r>
        <w:rPr>
          <w:rFonts w:ascii="Arial" w:cs="Arial" w:eastAsia="Arial" w:hAnsi="Arial"/>
          <w:sz w:val="18"/>
          <w:szCs w:val="18"/>
          <w:b w:val="1"/>
          <w:bCs w:val="1"/>
          <w:color w:val="auto"/>
        </w:rPr>
        <w:t xml:space="preserve"> </w:t>
      </w:r>
      <w:r>
        <w:rPr>
          <w:rFonts w:ascii="Arial" w:cs="Arial" w:eastAsia="Arial" w:hAnsi="Arial"/>
          <w:sz w:val="18"/>
          <w:szCs w:val="18"/>
          <w:color w:val="auto"/>
        </w:rPr>
        <w:t>Shares will be forfeited to and cancelled by the Company, without any compensation or payment. Notwithstanding the foregoing, if your separation is on account of your death, Disability, Retirement or your separation is involuntary without Cause (each as defined in the LTIP), at the end of the Performance Cycle the number of shares otherwise available for settlement will be determined in accordance with paragraph 2 of this Incentive Agreement, prorated based upon your actual period of service during the Performance Cycle, and then settled as provided in paragraph 4 of this Incentive Agreement.</w:t>
      </w:r>
    </w:p>
    <w:p>
      <w:pPr>
        <w:spacing w:after="0" w:line="191" w:lineRule="exact"/>
        <w:rPr>
          <w:rFonts w:ascii="Arial" w:cs="Arial" w:eastAsia="Arial" w:hAnsi="Arial"/>
          <w:sz w:val="18"/>
          <w:szCs w:val="18"/>
          <w:b w:val="1"/>
          <w:bCs w:val="1"/>
          <w:color w:val="auto"/>
        </w:rPr>
      </w:pPr>
    </w:p>
    <w:p>
      <w:pPr>
        <w:ind w:left="200" w:hanging="195"/>
        <w:spacing w:after="0"/>
        <w:tabs>
          <w:tab w:leader="none" w:pos="20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Change in Control</w:t>
      </w:r>
      <w:r>
        <w:rPr>
          <w:rFonts w:ascii="Arial" w:cs="Arial" w:eastAsia="Arial" w:hAnsi="Arial"/>
          <w:sz w:val="18"/>
          <w:szCs w:val="18"/>
          <w:color w:val="auto"/>
        </w:rPr>
        <w:t>. If a Change in Control is consummated during a Performance Cycle:</w:t>
      </w:r>
    </w:p>
    <w:p>
      <w:pPr>
        <w:spacing w:after="0" w:line="229" w:lineRule="exact"/>
        <w:rPr>
          <w:rFonts w:ascii="Arial" w:cs="Arial" w:eastAsia="Arial" w:hAnsi="Arial"/>
          <w:sz w:val="18"/>
          <w:szCs w:val="18"/>
          <w:b w:val="1"/>
          <w:bCs w:val="1"/>
          <w:color w:val="auto"/>
        </w:rPr>
      </w:pPr>
    </w:p>
    <w:p>
      <w:pPr>
        <w:ind w:left="980" w:hanging="343"/>
        <w:spacing w:after="0"/>
        <w:tabs>
          <w:tab w:leader="none" w:pos="9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Award will be deemed satisfied at the target level of performance; and</w:t>
      </w:r>
    </w:p>
    <w:p>
      <w:pPr>
        <w:spacing w:after="0" w:line="227" w:lineRule="exact"/>
        <w:rPr>
          <w:rFonts w:ascii="Arial" w:cs="Arial" w:eastAsia="Arial" w:hAnsi="Arial"/>
          <w:sz w:val="18"/>
          <w:szCs w:val="18"/>
          <w:color w:val="auto"/>
        </w:rPr>
      </w:pPr>
    </w:p>
    <w:p>
      <w:pPr>
        <w:ind w:left="980" w:hanging="343"/>
        <w:spacing w:after="0"/>
        <w:tabs>
          <w:tab w:leader="none" w:pos="9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Target Shares will be settled as of the earlier of: (i) the end of the cycle; or (ii) as of the date of a Permitted Separation.</w:t>
      </w:r>
    </w:p>
    <w:p>
      <w:pPr>
        <w:spacing w:after="0" w:line="2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term “Permitted Separation” means that during the 24-month period following the consummation of a Change in Control, your Separation From Service is involuntary, other than on account of Cause (including Good Reason as contemplated under the LTIP). For avoidance of doubt, nothing contained in this Incentive Agreement is intended to modify the provisions of paragraph 5, which will be applicable in the event of your death, Disability, Retirement or Separation From Service on account of Cause following a Change in Control.</w:t>
      </w:r>
    </w:p>
    <w:p>
      <w:pPr>
        <w:spacing w:after="0" w:line="203" w:lineRule="exact"/>
        <w:rPr>
          <w:sz w:val="20"/>
          <w:szCs w:val="20"/>
          <w:color w:val="auto"/>
        </w:rPr>
      </w:pPr>
    </w:p>
    <w:p>
      <w:pPr>
        <w:jc w:val="both"/>
        <w:ind w:firstLine="5"/>
        <w:spacing w:after="0" w:line="235" w:lineRule="auto"/>
        <w:tabs>
          <w:tab w:leader="none" w:pos="208"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r>
        <w:rPr>
          <w:rFonts w:ascii="Arial" w:cs="Arial" w:eastAsia="Arial" w:hAnsi="Arial"/>
          <w:sz w:val="18"/>
          <w:szCs w:val="18"/>
          <w:color w:val="auto"/>
        </w:rPr>
        <w:t>. When settled, the Fair Market Value (as defined in the LTIP) of your settled shares is considered compensation and is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withholding for all federal, state and local income and employment taxes required by law to be withheld. Unless you make other arrangements satisfactory to the Company, the Company will withhold the number of your settled shares having a Fair Market Value equal to the remaining amount of your withholdings. The amount of your withholdings will be determined using the applicable supplemental wage rate for Federal income taxes, applicable employment tax rates, and your state’s maximum marginal income tax rate, unless the Company agrees in advance to use different rates.</w:t>
      </w:r>
    </w:p>
    <w:p>
      <w:pPr>
        <w:spacing w:after="0" w:line="191" w:lineRule="exact"/>
        <w:rPr>
          <w:rFonts w:ascii="Arial" w:cs="Arial" w:eastAsia="Arial" w:hAnsi="Arial"/>
          <w:sz w:val="18"/>
          <w:szCs w:val="18"/>
          <w:b w:val="1"/>
          <w:bCs w:val="1"/>
          <w:color w:val="auto"/>
        </w:rPr>
      </w:pPr>
    </w:p>
    <w:p>
      <w:pPr>
        <w:jc w:val="both"/>
        <w:ind w:firstLine="5"/>
        <w:spacing w:after="0" w:line="234" w:lineRule="auto"/>
        <w:tabs>
          <w:tab w:leader="none" w:pos="208"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Further Holding Period</w:t>
      </w:r>
      <w:r>
        <w:rPr>
          <w:rFonts w:ascii="Arial" w:cs="Arial" w:eastAsia="Arial" w:hAnsi="Arial"/>
          <w:sz w:val="18"/>
          <w:szCs w:val="18"/>
          <w:color w:val="auto"/>
        </w:rPr>
        <w:t>. If you are subject to reporting under Section 16 of the Securities Exchange Act of 1934, as amended, a further</w:t>
      </w:r>
      <w:r>
        <w:rPr>
          <w:rFonts w:ascii="Arial" w:cs="Arial" w:eastAsia="Arial" w:hAnsi="Arial"/>
          <w:sz w:val="18"/>
          <w:szCs w:val="18"/>
          <w:b w:val="1"/>
          <w:bCs w:val="1"/>
          <w:color w:val="auto"/>
        </w:rPr>
        <w:t xml:space="preserve"> </w:t>
      </w:r>
      <w:r>
        <w:rPr>
          <w:rFonts w:ascii="Arial" w:cs="Arial" w:eastAsia="Arial" w:hAnsi="Arial"/>
          <w:sz w:val="18"/>
          <w:szCs w:val="18"/>
          <w:color w:val="auto"/>
        </w:rPr>
        <w:t>holding period applies to your Net Shares. The purpose of the holding period is to ensure that your Net Shares will be retained, enhancing the alignment of your financial interests and the financial interests of the Company. The further holding period begins on the Settlement Date and ends 24 months later. During the period, your Net Shares may not be sold, pledged, mortgaged, assigned or transferred, although the shares will no longer be subject to forfeiture. The further holding period will be subject to early termination in the event of your death or Disability or if a Change in Control occurs. The term “Net Shares” means the number of your settled shares, net of the number of shares withheld by the Company for purposes of satisfying your withholding obligations (as described in paragraph 7).</w:t>
      </w:r>
    </w:p>
    <w:p>
      <w:pPr>
        <w:spacing w:after="0" w:line="205" w:lineRule="exact"/>
        <w:rPr>
          <w:rFonts w:ascii="Arial" w:cs="Arial" w:eastAsia="Arial" w:hAnsi="Arial"/>
          <w:sz w:val="18"/>
          <w:szCs w:val="18"/>
          <w:b w:val="1"/>
          <w:bCs w:val="1"/>
          <w:color w:val="auto"/>
        </w:rPr>
      </w:pPr>
    </w:p>
    <w:p>
      <w:pPr>
        <w:ind w:firstLine="5"/>
        <w:spacing w:after="0" w:line="258" w:lineRule="auto"/>
        <w:tabs>
          <w:tab w:leader="none" w:pos="208"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Employment Rights</w:t>
      </w:r>
      <w:r>
        <w:rPr>
          <w:rFonts w:ascii="Arial" w:cs="Arial" w:eastAsia="Arial" w:hAnsi="Arial"/>
          <w:sz w:val="18"/>
          <w:szCs w:val="18"/>
          <w:color w:val="auto"/>
        </w:rPr>
        <w:t>. Nothing contained in this Incentive Agreement or the LTIP confers on you any right to continue in the employ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any affiliate or to be employed in a particular position or at a particular rate of compensation.</w:t>
      </w:r>
    </w:p>
    <w:p>
      <w:pPr>
        <w:spacing w:after="0" w:line="186" w:lineRule="exact"/>
        <w:rPr>
          <w:rFonts w:ascii="Arial" w:cs="Arial" w:eastAsia="Arial" w:hAnsi="Arial"/>
          <w:sz w:val="18"/>
          <w:szCs w:val="18"/>
          <w:b w:val="1"/>
          <w:bCs w:val="1"/>
          <w:color w:val="auto"/>
        </w:rPr>
      </w:pPr>
    </w:p>
    <w:p>
      <w:pPr>
        <w:ind w:firstLine="5"/>
        <w:spacing w:after="0" w:line="258" w:lineRule="auto"/>
        <w:tabs>
          <w:tab w:leader="none" w:pos="306"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Requirements</w:t>
      </w:r>
      <w:r>
        <w:rPr>
          <w:rFonts w:ascii="Arial" w:cs="Arial" w:eastAsia="Arial" w:hAnsi="Arial"/>
          <w:sz w:val="18"/>
          <w:szCs w:val="18"/>
          <w:color w:val="auto"/>
        </w:rPr>
        <w:t>. Your Award and Common Stock acquired hereunder are subject to the terms of this Incentive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additional requirements, including the following:</w:t>
      </w:r>
    </w:p>
    <w:p>
      <w:pPr>
        <w:spacing w:after="0" w:line="188" w:lineRule="exact"/>
        <w:rPr>
          <w:rFonts w:ascii="Arial" w:cs="Arial" w:eastAsia="Arial" w:hAnsi="Arial"/>
          <w:sz w:val="18"/>
          <w:szCs w:val="18"/>
          <w:b w:val="1"/>
          <w:bCs w:val="1"/>
          <w:color w:val="auto"/>
        </w:rPr>
      </w:pPr>
    </w:p>
    <w:p>
      <w:pPr>
        <w:ind w:left="980" w:hanging="343"/>
        <w:spacing w:after="0"/>
        <w:tabs>
          <w:tab w:leader="none" w:pos="9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terms of the LTIP, some of which are omitted from this Incentive Agreement.</w:t>
      </w:r>
    </w:p>
    <w:p>
      <w:pPr>
        <w:spacing w:after="0" w:line="227" w:lineRule="exact"/>
        <w:rPr>
          <w:rFonts w:ascii="Arial" w:cs="Arial" w:eastAsia="Arial" w:hAnsi="Arial"/>
          <w:sz w:val="18"/>
          <w:szCs w:val="18"/>
          <w:color w:val="auto"/>
        </w:rPr>
      </w:pPr>
    </w:p>
    <w:p>
      <w:pPr>
        <w:ind w:left="1260" w:hanging="623"/>
        <w:spacing w:after="0" w:line="241" w:lineRule="auto"/>
        <w:tabs>
          <w:tab w:leader="none" w:pos="1057" w:val="left"/>
        </w:tabs>
        <w:numPr>
          <w:ilvl w:val="1"/>
          <w:numId w:val="68"/>
        </w:numPr>
        <w:rPr>
          <w:rFonts w:ascii="Arial" w:cs="Arial" w:eastAsia="Arial" w:hAnsi="Arial"/>
          <w:sz w:val="18"/>
          <w:szCs w:val="18"/>
          <w:color w:val="auto"/>
        </w:rPr>
      </w:pPr>
      <w:r>
        <w:rPr>
          <w:rFonts w:ascii="Arial" w:cs="Arial" w:eastAsia="Arial" w:hAnsi="Arial"/>
          <w:sz w:val="18"/>
          <w:szCs w:val="18"/>
          <w:color w:val="auto"/>
        </w:rPr>
        <w:t>Common Stock issued hereunder may bear such legends as the Committee or the Company deems necessary or appropriate, whether to comply with applicable federal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40"/>
          </w:cols>
          <w:pgMar w:left="320" w:top="1373" w:right="339" w:bottom="1440" w:gutter="0" w:footer="0" w:header="0"/>
        </w:sectPr>
      </w:pPr>
    </w:p>
    <w:bookmarkStart w:id="168" w:name="page169"/>
    <w:bookmarkEnd w:id="168"/>
    <w:p>
      <w:pPr>
        <w:ind w:left="1260"/>
        <w:spacing w:after="0" w:line="256" w:lineRule="auto"/>
        <w:rPr>
          <w:sz w:val="20"/>
          <w:szCs w:val="20"/>
          <w:color w:val="auto"/>
        </w:rPr>
      </w:pPr>
      <w:r>
        <w:rPr>
          <w:rFonts w:ascii="Arial" w:cs="Arial" w:eastAsia="Arial" w:hAnsi="Arial"/>
          <w:sz w:val="18"/>
          <w:szCs w:val="18"/>
          <w:color w:val="auto"/>
        </w:rPr>
        <w:t>state securities laws or to reflect the terms of this Incentive Agreement or the LTIP, including the further holding period described above.</w:t>
      </w:r>
    </w:p>
    <w:p>
      <w:pPr>
        <w:spacing w:after="0" w:line="190" w:lineRule="exact"/>
        <w:rPr>
          <w:sz w:val="20"/>
          <w:szCs w:val="20"/>
          <w:color w:val="auto"/>
        </w:rPr>
      </w:pPr>
    </w:p>
    <w:p>
      <w:pPr>
        <w:ind w:left="1260" w:hanging="623"/>
        <w:spacing w:after="0" w:line="287" w:lineRule="auto"/>
        <w:tabs>
          <w:tab w:leader="none" w:pos="1012" w:val="left"/>
        </w:tabs>
        <w:numPr>
          <w:ilvl w:val="0"/>
          <w:numId w:val="69"/>
        </w:numPr>
        <w:rPr>
          <w:rFonts w:ascii="Arial" w:cs="Arial" w:eastAsia="Arial" w:hAnsi="Arial"/>
          <w:sz w:val="16"/>
          <w:szCs w:val="16"/>
          <w:color w:val="auto"/>
        </w:rPr>
      </w:pPr>
      <w:r>
        <w:rPr>
          <w:rFonts w:ascii="Arial" w:cs="Arial" w:eastAsia="Arial" w:hAnsi="Arial"/>
          <w:sz w:val="16"/>
          <w:szCs w:val="16"/>
          <w:color w:val="auto"/>
        </w:rPr>
        <w:t>Because your Award is considered “performance-based” compensation, it may be subject to recovery (reduced or returned to the Company for cancellation) pursuant to the Company’s Clawback Policy (as it may be amended from time to time) or any other similar policy that the Company may adopt. You will receive notice from the Committee in the event recovery is required.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RENASANT CORPORATION</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You must accept your Award, including the Covenants, no later than 30 days after the date of this Incentive Agreement (above). If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7135495" cy="5346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6">
                      <a:extLst>
                        <a:ext uri="{28A0092B-C50C-407E-A947-70E740481C1C}"/>
                      </a:extLst>
                    </a:blip>
                    <a:srcRect/>
                    <a:stretch>
                      <a:fillRect/>
                    </a:stretch>
                  </pic:blipFill>
                  <pic:spPr bwMode="auto">
                    <a:xfrm>
                      <a:off x="0" y="0"/>
                      <a:ext cx="7135495" cy="534670"/>
                    </a:xfrm>
                    <a:prstGeom prst="rect">
                      <a:avLst/>
                    </a:prstGeom>
                    <a:noFill/>
                  </pic:spPr>
                </pic:pic>
              </a:graphicData>
            </a:graphic>
          </wp:anchor>
        </w:drawing>
      </w:r>
    </w:p>
    <w:p>
      <w:pPr>
        <w:jc w:val="center"/>
        <w:spacing w:after="0" w:line="238" w:lineRule="auto"/>
        <w:rPr>
          <w:sz w:val="20"/>
          <w:szCs w:val="20"/>
          <w:color w:val="auto"/>
        </w:rPr>
      </w:pPr>
      <w:r>
        <w:rPr>
          <w:rFonts w:ascii="Arial" w:cs="Arial" w:eastAsia="Arial" w:hAnsi="Arial"/>
          <w:sz w:val="18"/>
          <w:szCs w:val="18"/>
          <w:b w:val="1"/>
          <w:bCs w:val="1"/>
          <w:color w:val="auto"/>
        </w:rPr>
        <w:t>do not timely accept your Award, it will be forfeited to and cancelled by the Company. To accept your award, sign the electronic document through your participant portal at [</w:t>
      </w:r>
      <w:r>
        <w:rPr>
          <w:rFonts w:ascii="Arial" w:cs="Arial" w:eastAsia="Arial" w:hAnsi="Arial"/>
          <w:sz w:val="18"/>
          <w:szCs w:val="18"/>
          <w:color w:val="auto"/>
        </w:rPr>
        <w:t>__</w:t>
      </w:r>
      <w:r>
        <w:rPr>
          <w:rFonts w:ascii="Arial" w:cs="Arial" w:eastAsia="Arial" w:hAnsi="Arial"/>
          <w:sz w:val="18"/>
          <w:szCs w:val="18"/>
          <w:b w:val="1"/>
          <w:bCs w:val="1"/>
          <w:color w:val="auto"/>
        </w:rPr>
        <w:t>]. Your electronic acceptance operates as your signature and creates a valid agreement as between you and the Company.</w:t>
      </w:r>
    </w:p>
    <w:p>
      <w:pPr>
        <w:spacing w:after="0" w:line="200" w:lineRule="exact"/>
        <w:rPr>
          <w:sz w:val="20"/>
          <w:szCs w:val="20"/>
          <w:color w:val="auto"/>
        </w:rPr>
      </w:pPr>
    </w:p>
    <w:p>
      <w:pPr>
        <w:spacing w:after="0" w:line="35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77"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Date:</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Attachments: Appendix A, Appendix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40"/>
          </w:cols>
          <w:pgMar w:left="320" w:top="1373" w:right="33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b w:val="1"/>
          <w:bCs w:val="1"/>
          <w:color w:val="auto"/>
        </w:rPr>
        <w:t>APPENDIX A</w:t>
      </w:r>
    </w:p>
    <w:p>
      <w:pPr>
        <w:spacing w:after="0" w:line="238" w:lineRule="auto"/>
        <w:rPr>
          <w:sz w:val="20"/>
          <w:szCs w:val="20"/>
          <w:color w:val="auto"/>
        </w:rPr>
      </w:pPr>
      <w:r>
        <w:rPr>
          <w:rFonts w:ascii="Arial" w:cs="Arial" w:eastAsia="Arial" w:hAnsi="Arial"/>
          <w:sz w:val="18"/>
          <w:szCs w:val="18"/>
          <w:b w:val="1"/>
          <w:bCs w:val="1"/>
          <w:color w:val="auto"/>
        </w:rPr>
        <w:t>PERFORMANCE OBJECTIVES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 RESTRICTED STOCK AWARDS</w:t>
      </w:r>
    </w:p>
    <w:p>
      <w:pPr>
        <w:spacing w:after="0" w:line="21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of the end of the Performance Cycle, the Committee will certify whether and to what extent the Performance Goals have been achieved, confirm the amount of your Award, and provide you with notice of the number of shares of Common Stock subject to settlement hereunder.</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Cycle: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40"/>
          </w:cols>
          <w:pgMar w:left="320" w:top="1371" w:right="33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b w:val="1"/>
          <w:bCs w:val="1"/>
          <w:color w:val="auto"/>
        </w:rPr>
        <w:t>RENASANT CORPORATION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LONG-TERM INCENTIVE COMPENSATION PLAN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INCENTIVE AGREEMENT - [__] RESTRICTED STOCK AWARD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Appendix B - Covenants</w:t>
      </w:r>
    </w:p>
    <w:p>
      <w:pPr>
        <w:spacing w:after="0" w:line="229"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When you accept your Award, you agree that you will be subject to the covenants and remedies contained in this Appendix B (each a “Covenant,” collectively, the “Covenants”) and that the making of your Award is adequate consideration for the Covenants. If you are also a party</w:t>
      </w:r>
    </w:p>
    <w:p>
      <w:pPr>
        <w:spacing w:after="0" w:line="1"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to an employment, change in control or similar individual agreement that includes covenants in favor of the Company and its subsidiaries and affiliates, the terms of your individual agreement will govern.</w:t>
      </w:r>
    </w:p>
    <w:p>
      <w:pPr>
        <w:spacing w:after="0" w:line="202" w:lineRule="exact"/>
        <w:rPr>
          <w:sz w:val="20"/>
          <w:szCs w:val="20"/>
          <w:color w:val="auto"/>
        </w:rPr>
      </w:pPr>
    </w:p>
    <w:p>
      <w:pPr>
        <w:jc w:val="both"/>
        <w:ind w:firstLine="5"/>
        <w:spacing w:after="0" w:line="230" w:lineRule="auto"/>
        <w:tabs>
          <w:tab w:leader="none" w:pos="208"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Protection of Confidential Information. </w:t>
      </w:r>
      <w:r>
        <w:rPr>
          <w:rFonts w:ascii="Arial" w:cs="Arial" w:eastAsia="Arial" w:hAnsi="Arial"/>
          <w:sz w:val="18"/>
          <w:szCs w:val="18"/>
          <w:color w:val="auto"/>
        </w:rPr>
        <w:t>You acknowledge that you have access to or possess Confidential Information (as defined below)</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concerning the Company and its subsidiaries and affiliates, including Renasant Bank and any predecessor to the Company or Renasant Bank (collectively, the “Protected Entities”). You agree that Confidential Information is integral to the business and operations of the Protected Entities, that the Protected Entities have a legitimate business interest in the protection and use of Confidential Information, and that Confidential Information is the sole property of and owned by the Protected Entities. You agree that during the term of your employment and the 12-month period following the date you Separate From Service, regardless of the reason for your separation (the “Covenant Period”), you will not at any time make any independent use of, or disclose to any other person or organization, any Confidential Information, </w:t>
      </w:r>
      <w:r>
        <w:rPr>
          <w:rFonts w:ascii="Arial" w:cs="Arial" w:eastAsia="Arial" w:hAnsi="Arial"/>
          <w:sz w:val="18"/>
          <w:szCs w:val="18"/>
          <w:u w:val="single" w:color="auto"/>
          <w:color w:val="auto"/>
        </w:rPr>
        <w:t>except</w:t>
      </w:r>
      <w:r>
        <w:rPr>
          <w:rFonts w:ascii="Arial" w:cs="Arial" w:eastAsia="Arial" w:hAnsi="Arial"/>
          <w:sz w:val="18"/>
          <w:szCs w:val="18"/>
          <w:color w:val="auto"/>
        </w:rPr>
        <w:t>: (i) as may be expressly authorized in writing by the Company; (ii) as may be required by law or legal process; or (iii) if and to the extent the information shall have become public information, other than on account of your breach of this Covenant. Unless prohibited by law, you agree to furnish to the General Counsel of the Company written notice of legal process or other demand for disclosure, including a copy of all relevant documents, and you agree to cooperate fully with the Company to object to or to limit such disclosure or to place such disclosure under seal, at the Company’s sole expense. Unless impracticable under the facts and circumstances, you agree to provide notice not less than five days prior to the date on which disclosure must otherwise be made.</w:t>
      </w:r>
    </w:p>
    <w:p>
      <w:pPr>
        <w:spacing w:after="0" w:line="2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 xml:space="preserve">Notwithstanding the foregoing, you (either directly or through counsel) may, without prior notice to or the consent of the Company, disclose in good faith Confidential Information: (i) in confidence to a federal, state or local government agency or regulatory authority or self-regulatory authority (including the SEC, the Financial Industry Regulatory Authority, the Equal Employment Opportunity Commission or the National Labor Relations Board) for the sole purpose of reporting or investigating a suspected violation of law or regulation or otherwise making disclosures protected under whistleblower or other provisions of applicable federal or state law or regulations; or (ii) in a complaint or other document filed in a lawsuit or proceeding alleging a violation of law if filed under seal;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nothing contained herein shall permit your disclosure to any third party (including any government official or your attorney) any communications that are protected by the attorney/client privilege in favor of the Protected Entities. Furthermore, you are not required to notify the Company after you have made any such disclosures.</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term “Confidential Information” refers to confidential, proprietary, non-public information created or maintained by the Protected Entities, whether or not considered a “trade secret” under applicable law and regardless of the form in which maintained, which may include, without limitation: (i) books, records and policies relating to operations, finance, accounting, personnel and management; (ii) information related to any</w:t>
      </w:r>
    </w:p>
    <w:p>
      <w:pPr>
        <w:spacing w:after="0" w:line="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business entered into by the Protected Entities; (iii) credit policies and practices, databases, customer and prospective customer lists, depositor and prospective depositor lists, and information obtained on competitors and tactics; (iv) various other non-public trade or business information,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including business opportunities and expansion or acquisition strategies, marketing, business diversification plans, methods and processes; and</w:t>
      </w:r>
    </w:p>
    <w:p>
      <w:pPr>
        <w:spacing w:after="0" w:line="13" w:lineRule="exact"/>
        <w:rPr>
          <w:sz w:val="20"/>
          <w:szCs w:val="20"/>
          <w:color w:val="auto"/>
        </w:rPr>
      </w:pPr>
    </w:p>
    <w:p>
      <w:pPr>
        <w:jc w:val="both"/>
        <w:ind w:firstLine="5"/>
        <w:spacing w:after="0" w:line="235" w:lineRule="auto"/>
        <w:tabs>
          <w:tab w:leader="none" w:pos="269"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retail marketing and operating policies and practices, including without limitation, policies and practices concerning the identity, solicitation, acquisition, management, resale or cancellation of unsecured or secured credit card accounts, loan or lease accounts, other accounts relating to consumer products and services and depository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240"/>
          </w:cols>
          <w:pgMar w:left="320" w:top="1371" w:right="339" w:bottom="1440" w:gutter="0" w:footer="0" w:header="0"/>
        </w:sectPr>
      </w:pPr>
    </w:p>
    <w:bookmarkStart w:id="171" w:name="page172"/>
    <w:bookmarkEnd w:id="171"/>
    <w:p>
      <w:pPr>
        <w:jc w:val="both"/>
        <w:spacing w:after="0" w:line="238" w:lineRule="auto"/>
        <w:rPr>
          <w:sz w:val="20"/>
          <w:szCs w:val="20"/>
          <w:color w:val="auto"/>
        </w:rPr>
      </w:pPr>
      <w:r>
        <w:rPr>
          <w:rFonts w:ascii="Arial" w:cs="Arial" w:eastAsia="Arial" w:hAnsi="Arial"/>
          <w:sz w:val="18"/>
          <w:szCs w:val="18"/>
          <w:color w:val="auto"/>
        </w:rPr>
        <w:t>This paragraph 1 shall be read in conjunction with any provision regarding the protection of Confidential Information included in the Renasant Bank Employee Manual, the Renasant Corporation Code of Business Conduct and Ethics or any other policy of the Protected Entities to which you are subject. In the event of a conflict between the terms of this Covenant and any other obligation to which you are subject, the more restrictive provision shall be controlling.</w:t>
      </w:r>
    </w:p>
    <w:p>
      <w:pPr>
        <w:spacing w:after="0" w:line="203" w:lineRule="exact"/>
        <w:rPr>
          <w:sz w:val="20"/>
          <w:szCs w:val="20"/>
          <w:color w:val="auto"/>
        </w:rPr>
      </w:pPr>
    </w:p>
    <w:p>
      <w:pPr>
        <w:jc w:val="both"/>
        <w:ind w:firstLine="5"/>
        <w:spacing w:after="0" w:line="243" w:lineRule="auto"/>
        <w:tabs>
          <w:tab w:leader="none" w:pos="195"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Agreement Not to Solicit. </w:t>
      </w:r>
      <w:r>
        <w:rPr>
          <w:rFonts w:ascii="Arial" w:cs="Arial" w:eastAsia="Arial" w:hAnsi="Arial"/>
          <w:sz w:val="18"/>
          <w:szCs w:val="18"/>
          <w:color w:val="auto"/>
        </w:rPr>
        <w:t>You agree that if you separate from service at any time on or prior to the Settlement Date (that is, the first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day following the end of the Performance Cycle), then for the 12-month period following the date of your separation you will not, directly or indirectly, whether for your own benefit, on behalf of another, or otherwise to the detriment of the Protected Entities:</w:t>
      </w:r>
    </w:p>
    <w:p>
      <w:pPr>
        <w:spacing w:after="0" w:line="189" w:lineRule="exact"/>
        <w:rPr>
          <w:rFonts w:ascii="Arial" w:cs="Arial" w:eastAsia="Arial" w:hAnsi="Arial"/>
          <w:sz w:val="18"/>
          <w:szCs w:val="18"/>
          <w:b w:val="1"/>
          <w:bCs w:val="1"/>
          <w:color w:val="auto"/>
        </w:rPr>
      </w:pPr>
    </w:p>
    <w:p>
      <w:pPr>
        <w:jc w:val="both"/>
        <w:ind w:firstLine="637"/>
        <w:spacing w:after="0" w:line="242" w:lineRule="auto"/>
        <w:tabs>
          <w:tab w:leader="none" w:pos="934" w:val="left"/>
        </w:tabs>
        <w:numPr>
          <w:ilvl w:val="1"/>
          <w:numId w:val="72"/>
        </w:numPr>
        <w:rPr>
          <w:rFonts w:ascii="Arial" w:cs="Arial" w:eastAsia="Arial" w:hAnsi="Arial"/>
          <w:sz w:val="18"/>
          <w:szCs w:val="18"/>
          <w:color w:val="auto"/>
        </w:rPr>
      </w:pPr>
      <w:r>
        <w:rPr>
          <w:rFonts w:ascii="Arial" w:cs="Arial" w:eastAsia="Arial" w:hAnsi="Arial"/>
          <w:sz w:val="18"/>
          <w:szCs w:val="18"/>
          <w:color w:val="auto"/>
        </w:rPr>
        <w:t>Solicit for any business purpose, hire or offer to hire, or participate in the business solicitation or hiring of, any officer or employee of the Protected Entities; for this purpose, the term “officer or employee” shall include any officer or employee of the Protected Entities who is a current employee as of the date of your separation or who was employed during the six-month period preceding your separation.</w:t>
      </w:r>
    </w:p>
    <w:p>
      <w:pPr>
        <w:spacing w:after="0" w:line="202" w:lineRule="exact"/>
        <w:rPr>
          <w:rFonts w:ascii="Arial" w:cs="Arial" w:eastAsia="Arial" w:hAnsi="Arial"/>
          <w:sz w:val="18"/>
          <w:szCs w:val="18"/>
          <w:color w:val="auto"/>
        </w:rPr>
      </w:pPr>
    </w:p>
    <w:p>
      <w:pPr>
        <w:ind w:firstLine="637"/>
        <w:spacing w:after="0" w:line="256" w:lineRule="auto"/>
        <w:tabs>
          <w:tab w:leader="none" w:pos="967" w:val="left"/>
        </w:tabs>
        <w:numPr>
          <w:ilvl w:val="1"/>
          <w:numId w:val="72"/>
        </w:numPr>
        <w:rPr>
          <w:rFonts w:ascii="Arial" w:cs="Arial" w:eastAsia="Arial" w:hAnsi="Arial"/>
          <w:sz w:val="18"/>
          <w:szCs w:val="18"/>
          <w:color w:val="auto"/>
        </w:rPr>
      </w:pPr>
      <w:r>
        <w:rPr>
          <w:rFonts w:ascii="Arial" w:cs="Arial" w:eastAsia="Arial" w:hAnsi="Arial"/>
          <w:sz w:val="18"/>
          <w:szCs w:val="18"/>
          <w:color w:val="auto"/>
        </w:rPr>
        <w:t>Persuade, or attempt to persuade, in any manner any officer, employee, agent or consultant of Protected Entities to discontinue any business relationship with the Protected Entities.</w:t>
      </w:r>
    </w:p>
    <w:p>
      <w:pPr>
        <w:spacing w:after="0" w:line="190" w:lineRule="exact"/>
        <w:rPr>
          <w:rFonts w:ascii="Arial" w:cs="Arial" w:eastAsia="Arial" w:hAnsi="Arial"/>
          <w:sz w:val="18"/>
          <w:szCs w:val="18"/>
          <w:color w:val="auto"/>
        </w:rPr>
      </w:pPr>
    </w:p>
    <w:p>
      <w:pPr>
        <w:jc w:val="both"/>
        <w:ind w:firstLine="637"/>
        <w:spacing w:after="0" w:line="235" w:lineRule="auto"/>
        <w:tabs>
          <w:tab w:leader="none" w:pos="1148" w:val="left"/>
        </w:tabs>
        <w:numPr>
          <w:ilvl w:val="1"/>
          <w:numId w:val="72"/>
        </w:numPr>
        <w:rPr>
          <w:rFonts w:ascii="Arial" w:cs="Arial" w:eastAsia="Arial" w:hAnsi="Arial"/>
          <w:sz w:val="18"/>
          <w:szCs w:val="18"/>
          <w:color w:val="auto"/>
        </w:rPr>
      </w:pPr>
      <w:r>
        <w:rPr>
          <w:rFonts w:ascii="Arial" w:cs="Arial" w:eastAsia="Arial" w:hAnsi="Arial"/>
          <w:sz w:val="18"/>
          <w:szCs w:val="18"/>
          <w:color w:val="auto"/>
        </w:rPr>
        <w:t>Solicit or divert, or attempt to solicit or divert, any borrower, depositor or other customer of the Protected Entities (each a “Customer”), whether: (x) a current Customer as of your separation date; (y) a Customer during the six-months preceding your separation date; or (z) a prospective or potential Customer with respect to which the Protected Entities have expended material efforts to solicit before your separation. For this purpose, the terms “Customer” shall refer only to those Customers doing business with the Protected Entities (or solicited for business) in the state in which you are employed. This will not be enforced against you (whether by the Company or a successor) if your Separation From Service occurs on or after the consummation of a Change in Control.</w:t>
      </w:r>
    </w:p>
    <w:p>
      <w:pPr>
        <w:spacing w:after="0" w:line="203" w:lineRule="exact"/>
        <w:rPr>
          <w:rFonts w:ascii="Arial" w:cs="Arial" w:eastAsia="Arial" w:hAnsi="Arial"/>
          <w:sz w:val="18"/>
          <w:szCs w:val="18"/>
          <w:color w:val="auto"/>
        </w:rPr>
      </w:pPr>
    </w:p>
    <w:p>
      <w:pPr>
        <w:jc w:val="both"/>
        <w:ind w:firstLine="5"/>
        <w:spacing w:after="0" w:line="272" w:lineRule="auto"/>
        <w:tabs>
          <w:tab w:leader="none" w:pos="234" w:val="left"/>
        </w:tabs>
        <w:numPr>
          <w:ilvl w:val="0"/>
          <w:numId w:val="7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Reformation. </w:t>
      </w:r>
      <w:r>
        <w:rPr>
          <w:rFonts w:ascii="Arial" w:cs="Arial" w:eastAsia="Arial" w:hAnsi="Arial"/>
          <w:sz w:val="16"/>
          <w:szCs w:val="16"/>
          <w:color w:val="auto"/>
        </w:rPr>
        <w:t>You agree that each Covenant is intended to be a separate restriction. Should any Covenant be declared invalid or</w:t>
      </w:r>
      <w:r>
        <w:rPr>
          <w:rFonts w:ascii="Arial" w:cs="Arial" w:eastAsia="Arial" w:hAnsi="Arial"/>
          <w:sz w:val="16"/>
          <w:szCs w:val="16"/>
          <w:b w:val="1"/>
          <w:bCs w:val="1"/>
          <w:color w:val="auto"/>
        </w:rPr>
        <w:t xml:space="preserve"> </w:t>
      </w:r>
      <w:r>
        <w:rPr>
          <w:rFonts w:ascii="Arial" w:cs="Arial" w:eastAsia="Arial" w:hAnsi="Arial"/>
          <w:sz w:val="16"/>
          <w:szCs w:val="16"/>
          <w:color w:val="auto"/>
        </w:rPr>
        <w:t>unenforceable, the Covenant shall be deemed severable from and shall not affect the remainder. You also agree that each of the Covenants is reasonable. If and to the extent a court of competent jurisdiction determines that any Covenant is unreasonable, you agree that the Covenant shall be enforced to the fullest extent deemed reasonable and be considered reformed to the extent necessary to permit such enforcement.</w:t>
      </w:r>
    </w:p>
    <w:p>
      <w:pPr>
        <w:spacing w:after="0" w:line="179" w:lineRule="exact"/>
        <w:rPr>
          <w:rFonts w:ascii="Arial" w:cs="Arial" w:eastAsia="Arial" w:hAnsi="Arial"/>
          <w:sz w:val="16"/>
          <w:szCs w:val="16"/>
          <w:b w:val="1"/>
          <w:bCs w:val="1"/>
          <w:color w:val="auto"/>
        </w:rPr>
      </w:pPr>
    </w:p>
    <w:p>
      <w:pPr>
        <w:ind w:firstLine="5"/>
        <w:spacing w:after="0" w:line="258" w:lineRule="auto"/>
        <w:tabs>
          <w:tab w:leader="none" w:pos="195"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Remedies. </w:t>
      </w:r>
      <w:r>
        <w:rPr>
          <w:rFonts w:ascii="Arial" w:cs="Arial" w:eastAsia="Arial" w:hAnsi="Arial"/>
          <w:sz w:val="18"/>
          <w:szCs w:val="18"/>
          <w:color w:val="auto"/>
        </w:rPr>
        <w:t>In the event you breach or threaten a breach of any Covenant, you agree that the Protected Entities shall be entitled to seek an</w:t>
      </w:r>
      <w:r>
        <w:rPr>
          <w:rFonts w:ascii="Arial" w:cs="Arial" w:eastAsia="Arial" w:hAnsi="Arial"/>
          <w:sz w:val="18"/>
          <w:szCs w:val="18"/>
          <w:b w:val="1"/>
          <w:bCs w:val="1"/>
          <w:color w:val="auto"/>
        </w:rPr>
        <w:t xml:space="preserve"> </w:t>
      </w:r>
      <w:r>
        <w:rPr>
          <w:rFonts w:ascii="Arial" w:cs="Arial" w:eastAsia="Arial" w:hAnsi="Arial"/>
          <w:sz w:val="18"/>
          <w:szCs w:val="18"/>
          <w:color w:val="auto"/>
        </w:rPr>
        <w:t>injunction without the necessity of posting bond, whether a temporary, preliminary or permanent injunction.</w:t>
      </w:r>
    </w:p>
    <w:p>
      <w:pPr>
        <w:spacing w:after="0" w:line="18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You further agree that in the event of a breach, you will forfeit, without consideration, any and all Equity Awards that are not then vested and you will, upon demand, return Common Stock attributable to an Equity Award that has vested and been settled, net of any taxes you have paid (or if you have disposed of the shares, the cash proceeds of the disposition net of any taxes you have paid). For this purpose, the term “Equity Award” refers to the grant or award of Common Stock made to you by the Company on or after the date of the Incentive Agreement attached to this Appendix B.</w:t>
      </w:r>
    </w:p>
    <w:p>
      <w:pPr>
        <w:spacing w:after="0" w:line="204" w:lineRule="exact"/>
        <w:rPr>
          <w:sz w:val="20"/>
          <w:szCs w:val="20"/>
          <w:color w:val="auto"/>
        </w:rPr>
      </w:pPr>
    </w:p>
    <w:p>
      <w:pPr>
        <w:jc w:val="both"/>
        <w:ind w:firstLine="5"/>
        <w:spacing w:after="0" w:line="243" w:lineRule="auto"/>
        <w:tabs>
          <w:tab w:leader="none" w:pos="195"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Assignment. </w:t>
      </w:r>
      <w:r>
        <w:rPr>
          <w:rFonts w:ascii="Arial" w:cs="Arial" w:eastAsia="Arial" w:hAnsi="Arial"/>
          <w:sz w:val="18"/>
          <w:szCs w:val="18"/>
          <w:color w:val="auto"/>
        </w:rPr>
        <w:t>The Covenants shall inure to the benefit of the Company, including its successors and assigns, whether by means of merger,</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sale of assets or similar transaction. Assignment of the Covenants in the event of any such transaction shall not notice or require your consent.</w:t>
      </w:r>
    </w:p>
    <w:p>
      <w:pPr>
        <w:spacing w:after="0" w:line="200" w:lineRule="exact"/>
        <w:rPr>
          <w:rFonts w:ascii="Arial" w:cs="Arial" w:eastAsia="Arial" w:hAnsi="Arial"/>
          <w:sz w:val="18"/>
          <w:szCs w:val="18"/>
          <w:b w:val="1"/>
          <w:bCs w:val="1"/>
          <w:color w:val="auto"/>
        </w:rPr>
      </w:pPr>
    </w:p>
    <w:p>
      <w:pPr>
        <w:ind w:firstLine="5"/>
        <w:spacing w:after="0" w:line="243" w:lineRule="auto"/>
        <w:tabs>
          <w:tab w:leader="none" w:pos="195"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Choice of Law. </w:t>
      </w:r>
      <w:r>
        <w:rPr>
          <w:rFonts w:ascii="Arial" w:cs="Arial" w:eastAsia="Arial" w:hAnsi="Arial"/>
          <w:sz w:val="18"/>
          <w:szCs w:val="18"/>
          <w:color w:val="auto"/>
        </w:rPr>
        <w:t>You understand and agree that the Covenants will be governed and construed by the internal laws of the State of Mississippi,</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regard to the conflicts of law provisions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1240"/>
          </w:cols>
          <w:pgMar w:left="320" w:top="1373" w:right="339" w:bottom="1440" w:gutter="0" w:footer="0" w:header="0"/>
        </w:sectPr>
      </w:pPr>
    </w:p>
    <w:bookmarkStart w:id="172" w:name="page173"/>
    <w:bookmarkEnd w:id="172"/>
    <w:p>
      <w:pPr>
        <w:jc w:val="center"/>
        <w:spacing w:after="0" w:line="248" w:lineRule="auto"/>
        <w:rPr>
          <w:sz w:val="20"/>
          <w:szCs w:val="20"/>
          <w:color w:val="auto"/>
        </w:rPr>
      </w:pPr>
      <w:r>
        <w:rPr>
          <w:rFonts w:ascii="Arial" w:cs="Arial" w:eastAsia="Arial" w:hAnsi="Arial"/>
          <w:sz w:val="18"/>
          <w:szCs w:val="18"/>
          <w:b w:val="1"/>
          <w:bCs w:val="1"/>
          <w:color w:val="auto"/>
        </w:rPr>
        <w:t>You must accept your Award, including the Covenants, no later than 30 days after the date of the Incentive Agreement attached to this Appendix B. If you do not timely accept your Award, it will be forfeited to and cancelled by the Company. Your electronic acceptance operates as your signature and creates a valid agreement as between you and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-403225</wp:posOffset>
            </wp:positionV>
            <wp:extent cx="7052310" cy="4095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7">
                      <a:extLst>
                        <a:ext uri="{28A0092B-C50C-407E-A947-70E740481C1C}"/>
                      </a:extLst>
                    </a:blip>
                    <a:srcRect/>
                    <a:stretch>
                      <a:fillRect/>
                    </a:stretch>
                  </pic:blipFill>
                  <pic:spPr bwMode="auto">
                    <a:xfrm>
                      <a:off x="0" y="0"/>
                      <a:ext cx="7052310" cy="409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10800"/>
          </w:cols>
          <w:pgMar w:left="480" w:top="1424" w:right="61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8"/>
          <w:szCs w:val="18"/>
          <w:b w:val="1"/>
          <w:bCs w:val="1"/>
          <w:color w:val="auto"/>
        </w:rPr>
        <w:t>Exh. 10(xxxii)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RENASANT CORPORATION</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EXECUTIVE EMPLOYMENT AGREEMENT</w:t>
      </w:r>
    </w:p>
    <w:p>
      <w:pPr>
        <w:spacing w:after="0" w:line="22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b w:val="1"/>
          <w:bCs w:val="1"/>
          <w:color w:val="auto"/>
        </w:rPr>
        <w:t xml:space="preserve">THIS EXECUTIVE EMPLOYMENT AGREEMENT </w:t>
      </w:r>
      <w:r>
        <w:rPr>
          <w:rFonts w:ascii="Times New Roman" w:cs="Times New Roman" w:eastAsia="Times New Roman" w:hAnsi="Times New Roman"/>
          <w:sz w:val="19"/>
          <w:szCs w:val="19"/>
          <w:color w:val="auto"/>
        </w:rPr>
        <w:t>(the “Agreement”) is made and entered into by and between Mark W. Jeanfreau</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(“Executive”) and Renasant Corporation, a Mississippi corporation (the “Company”), to be effective as of September 1, 2017 (the “Effective Date”).</w:t>
      </w:r>
    </w:p>
    <w:p>
      <w:pPr>
        <w:spacing w:after="0" w:line="18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9"/>
          <w:szCs w:val="19"/>
          <w:b w:val="1"/>
          <w:bCs w:val="1"/>
          <w:color w:val="auto"/>
        </w:rPr>
        <w:t>1.</w:t>
        <w:tab/>
        <w:t>General:</w:t>
      </w:r>
    </w:p>
    <w:p>
      <w:pPr>
        <w:spacing w:after="0" w:line="25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b w:val="1"/>
          <w:bCs w:val="1"/>
          <w:color w:val="auto"/>
        </w:rPr>
        <w:t xml:space="preserve">1.1 Position. </w:t>
      </w:r>
      <w:r>
        <w:rPr>
          <w:rFonts w:ascii="Times New Roman" w:cs="Times New Roman" w:eastAsia="Times New Roman" w:hAnsi="Times New Roman"/>
          <w:sz w:val="19"/>
          <w:szCs w:val="19"/>
          <w:color w:val="auto"/>
        </w:rPr>
        <w:t>The Company shall employ and retain Executive as its Sr. Executive Vice President and Governance Counsel, or in such other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capacity or capacities as shall be mutually agreed upon, from time to time, by Executive and the Company, and Executive agrees to be so employed, subject to the terms and conditions set forth herein. Executive’s duties and responsibilities shall be those assigned to him, from time to time, by the Executive Chairman of the Company and shall include such duties as are the type and nature normally assigned to similar officers of a corporation of the size, type and stature of the Company. Executive shall report to the Executive Chairman of the Company.</w:t>
      </w:r>
    </w:p>
    <w:p>
      <w:pPr>
        <w:spacing w:after="0" w:line="19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b w:val="1"/>
          <w:bCs w:val="1"/>
          <w:color w:val="auto"/>
        </w:rPr>
        <w:t xml:space="preserve">1.2 Full Time and Attention. </w:t>
      </w:r>
      <w:r>
        <w:rPr>
          <w:rFonts w:ascii="Times New Roman" w:cs="Times New Roman" w:eastAsia="Times New Roman" w:hAnsi="Times New Roman"/>
          <w:sz w:val="19"/>
          <w:szCs w:val="19"/>
          <w:color w:val="auto"/>
        </w:rPr>
        <w:t>During the Employment Term (as defined below), Executive shall devote his full time, attention and energies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the business of the Company and will not, without the prior written consent of the Chief Executive Officer, be engaged (whether or not during normal business hours) in any other business or professional activity, whether or not such activities are pursued for gain, profit or other pecuniary advantage. Notwithstanding the foregoing, Executive shall not be prevented from: (a) engaging in any civic or charitable activity for which Executive receives no compensation or other pecuniary advantage; (b) investing his personal assets in businesses which do not compete with the Company, </w:t>
      </w:r>
      <w:r>
        <w:rPr>
          <w:rFonts w:ascii="Times New Roman" w:cs="Times New Roman" w:eastAsia="Times New Roman" w:hAnsi="Times New Roman"/>
          <w:sz w:val="19"/>
          <w:szCs w:val="19"/>
          <w:u w:val="single" w:color="auto"/>
          <w:color w:val="auto"/>
        </w:rPr>
        <w:t>provided that</w:t>
      </w:r>
      <w:r>
        <w:rPr>
          <w:rFonts w:ascii="Times New Roman" w:cs="Times New Roman" w:eastAsia="Times New Roman" w:hAnsi="Times New Roman"/>
          <w:sz w:val="19"/>
          <w:szCs w:val="19"/>
          <w:color w:val="auto"/>
        </w:rPr>
        <w:t xml:space="preserve"> such investment is solely that of an investor; or (c) purchasing securities in any corporation whose securities are regularly traded on an established market, </w:t>
      </w:r>
      <w:r>
        <w:rPr>
          <w:rFonts w:ascii="Times New Roman" w:cs="Times New Roman" w:eastAsia="Times New Roman" w:hAnsi="Times New Roman"/>
          <w:sz w:val="19"/>
          <w:szCs w:val="19"/>
          <w:u w:val="single" w:color="auto"/>
          <w:color w:val="auto"/>
        </w:rPr>
        <w:t>provided that</w:t>
      </w:r>
      <w:r>
        <w:rPr>
          <w:rFonts w:ascii="Times New Roman" w:cs="Times New Roman" w:eastAsia="Times New Roman" w:hAnsi="Times New Roman"/>
          <w:sz w:val="19"/>
          <w:szCs w:val="19"/>
          <w:color w:val="auto"/>
        </w:rPr>
        <w:t xml:space="preserve"> such purchases will not result in Executive owning beneficially at any time 2% or more of the equity securities of any corporation engaged in a business competitive with that of the Company.</w:t>
      </w:r>
    </w:p>
    <w:p>
      <w:pPr>
        <w:spacing w:after="0" w:line="19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9"/>
          <w:szCs w:val="19"/>
          <w:b w:val="1"/>
          <w:bCs w:val="1"/>
          <w:color w:val="auto"/>
        </w:rPr>
        <w:t>2.</w:t>
        <w:tab/>
        <w:t>Duration; Renewal:</w:t>
      </w:r>
    </w:p>
    <w:p>
      <w:pPr>
        <w:spacing w:after="0" w:line="25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Executive’s employment under this Agreement shall commence as of the Effective Date and shall terminate on the two-year anniversary thereof (the “Initial Term”). At the end of the Initial Term and on each anniversary of such date thereafter (each a “Renewal Date”), this Agreement shall be automatically extended for an additional one-year period (a “Renewal Term”), unless either party provides written notice to the other that this Agreement shall not be extended, such notice to be provided not less than 60 days prior to any Renewal Date or the expiration of the Initial Term, as the case may be (the Initial Term and any Renewal Term referred to as Executive’s “Employment Term”).</w:t>
      </w:r>
    </w:p>
    <w:p>
      <w:pPr>
        <w:spacing w:after="0" w:line="19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9"/>
          <w:szCs w:val="19"/>
          <w:b w:val="1"/>
          <w:bCs w:val="1"/>
          <w:color w:val="auto"/>
        </w:rPr>
        <w:t>3.</w:t>
        <w:tab/>
        <w:t>Compensation And Benefits:</w:t>
      </w:r>
    </w:p>
    <w:p>
      <w:pPr>
        <w:spacing w:after="0" w:line="24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b w:val="1"/>
          <w:bCs w:val="1"/>
          <w:color w:val="auto"/>
        </w:rPr>
        <w:t xml:space="preserve">3.1 Base Compensation. </w:t>
      </w:r>
      <w:r>
        <w:rPr>
          <w:rFonts w:ascii="Times New Roman" w:cs="Times New Roman" w:eastAsia="Times New Roman" w:hAnsi="Times New Roman"/>
          <w:sz w:val="19"/>
          <w:szCs w:val="19"/>
          <w:color w:val="auto"/>
        </w:rPr>
        <w:t>The Company shall pay to Executive base compensation in an amount not less than amount payable as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execution of this Agreement, such amount to be prorated and paid in equal installments in accordance with the Company’s regular payroll practices and policies. Such compensation shall be reviewed and may be adjusted no less often than annually by the Company’s Board of Directors (the “Board”) or by the Chief Executive Officer, if such review has been delegated by the Board (such amount, as may be adjusted from time to time, Executive’s “Base Compensation”); </w:t>
      </w:r>
      <w:r>
        <w:rPr>
          <w:rFonts w:ascii="Times New Roman" w:cs="Times New Roman" w:eastAsia="Times New Roman" w:hAnsi="Times New Roman"/>
          <w:sz w:val="19"/>
          <w:szCs w:val="19"/>
          <w:u w:val="single" w:color="auto"/>
          <w:color w:val="auto"/>
        </w:rPr>
        <w:t>provided that</w:t>
      </w:r>
      <w:r>
        <w:rPr>
          <w:rFonts w:ascii="Times New Roman" w:cs="Times New Roman" w:eastAsia="Times New Roman" w:hAnsi="Times New Roman"/>
          <w:sz w:val="19"/>
          <w:szCs w:val="19"/>
          <w:color w:val="auto"/>
        </w:rPr>
        <w:t xml:space="preserve"> such compensation shall not be reduced unless part of a reduction applicable to all or substantially all similarly situated officers.</w:t>
      </w:r>
    </w:p>
    <w:p>
      <w:pPr>
        <w:sectPr>
          <w:pgSz w:w="11900" w:h="16838" w:orient="portrait"/>
          <w:cols w:equalWidth="0" w:num="1">
            <w:col w:w="11240"/>
          </w:cols>
          <w:pgMar w:left="320" w:top="119" w:right="33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6"/>
          <w:szCs w:val="16"/>
          <w:color w:val="auto"/>
        </w:rPr>
        <w:t>Execution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9"/>
          <w:szCs w:val="19"/>
          <w:b w:val="1"/>
          <w:bCs w:val="1"/>
          <w:color w:val="auto"/>
        </w:rPr>
        <w:t>3.2</w:t>
        <w:tab/>
        <w:t xml:space="preserve">Benefits and Perquisites. </w:t>
      </w:r>
      <w:r>
        <w:rPr>
          <w:rFonts w:ascii="Times New Roman" w:cs="Times New Roman" w:eastAsia="Times New Roman" w:hAnsi="Times New Roman"/>
          <w:sz w:val="19"/>
          <w:szCs w:val="19"/>
          <w:color w:val="auto"/>
        </w:rPr>
        <w:t>Executive shall further be eligible to receive the following benefits and perquisites:</w:t>
      </w:r>
    </w:p>
    <w:p>
      <w:pPr>
        <w:spacing w:after="0" w:line="259" w:lineRule="exact"/>
        <w:rPr>
          <w:sz w:val="20"/>
          <w:szCs w:val="20"/>
          <w:color w:val="auto"/>
        </w:rPr>
      </w:pPr>
    </w:p>
    <w:p>
      <w:pPr>
        <w:ind w:left="640" w:hanging="635"/>
        <w:spacing w:after="0" w:line="282" w:lineRule="auto"/>
        <w:tabs>
          <w:tab w:leader="none" w:pos="358"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Participation in the Company’s Performance Based Rewards Plan, as the same may be amended, restated or replaced from time to time (the “PBRP”);</w:t>
      </w:r>
    </w:p>
    <w:p>
      <w:pPr>
        <w:spacing w:after="0" w:line="183" w:lineRule="exact"/>
        <w:rPr>
          <w:rFonts w:ascii="Times New Roman" w:cs="Times New Roman" w:eastAsia="Times New Roman" w:hAnsi="Times New Roman"/>
          <w:sz w:val="19"/>
          <w:szCs w:val="19"/>
          <w:color w:val="auto"/>
        </w:rPr>
      </w:pPr>
    </w:p>
    <w:p>
      <w:pPr>
        <w:ind w:left="640" w:hanging="635"/>
        <w:spacing w:after="0" w:line="267" w:lineRule="auto"/>
        <w:tabs>
          <w:tab w:leader="none" w:pos="371"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Grants and awards under the Company’s 2011 Long-Term Incentive Compensation Plan, as the same may be amended, restated or replaced from time to time (the “LTIP,” which reference shall include the terms of any incentive agreement issued thereunder), including as of the Effective Date, a time-based restricted stock award in the amount of 1,000 shares of the Company’s common stock, $5.00 par value per share, which the parties acknowledge has previously been awarded to Executive;</w:t>
      </w:r>
    </w:p>
    <w:p>
      <w:pPr>
        <w:spacing w:after="0" w:line="185" w:lineRule="exact"/>
        <w:rPr>
          <w:rFonts w:ascii="Times New Roman" w:cs="Times New Roman" w:eastAsia="Times New Roman" w:hAnsi="Times New Roman"/>
          <w:sz w:val="19"/>
          <w:szCs w:val="19"/>
          <w:color w:val="auto"/>
        </w:rPr>
      </w:pPr>
    </w:p>
    <w:p>
      <w:pPr>
        <w:ind w:left="340" w:hanging="335"/>
        <w:spacing w:after="0"/>
        <w:tabs>
          <w:tab w:leader="none" w:pos="340"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Paid annual leave as determined under the standard policies and practices of Renasant Bank or the Company, as the case may be;</w:t>
      </w:r>
    </w:p>
    <w:p>
      <w:pPr>
        <w:spacing w:after="0" w:line="255" w:lineRule="exact"/>
        <w:rPr>
          <w:rFonts w:ascii="Times New Roman" w:cs="Times New Roman" w:eastAsia="Times New Roman" w:hAnsi="Times New Roman"/>
          <w:sz w:val="19"/>
          <w:szCs w:val="19"/>
          <w:color w:val="auto"/>
        </w:rPr>
      </w:pPr>
    </w:p>
    <w:p>
      <w:pPr>
        <w:ind w:left="340" w:hanging="335"/>
        <w:spacing w:after="0"/>
        <w:tabs>
          <w:tab w:leader="none" w:pos="340"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transportation benefit in the amount of $1,000 per month;</w:t>
      </w:r>
    </w:p>
    <w:p>
      <w:pPr>
        <w:spacing w:after="0" w:line="242" w:lineRule="exact"/>
        <w:rPr>
          <w:rFonts w:ascii="Times New Roman" w:cs="Times New Roman" w:eastAsia="Times New Roman" w:hAnsi="Times New Roman"/>
          <w:sz w:val="19"/>
          <w:szCs w:val="19"/>
          <w:color w:val="auto"/>
        </w:rPr>
      </w:pPr>
    </w:p>
    <w:p>
      <w:pPr>
        <w:ind w:left="640" w:hanging="635"/>
        <w:spacing w:after="0" w:line="278" w:lineRule="auto"/>
        <w:tabs>
          <w:tab w:leader="none" w:pos="385"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Reimbursement or payment of dues and capital assessments for membership in the country club designated by Executive; </w:t>
      </w:r>
      <w:r>
        <w:rPr>
          <w:rFonts w:ascii="Times New Roman" w:cs="Times New Roman" w:eastAsia="Times New Roman" w:hAnsi="Times New Roman"/>
          <w:sz w:val="19"/>
          <w:szCs w:val="19"/>
          <w:u w:val="single" w:color="auto"/>
          <w:color w:val="auto"/>
        </w:rPr>
        <w:t>provided that</w:t>
      </w:r>
      <w:r>
        <w:rPr>
          <w:rFonts w:ascii="Times New Roman" w:cs="Times New Roman" w:eastAsia="Times New Roman" w:hAnsi="Times New Roman"/>
          <w:sz w:val="19"/>
          <w:szCs w:val="19"/>
          <w:color w:val="auto"/>
        </w:rPr>
        <w:t xml:space="preserve"> if any bond or capital or similar payment made by the Company is repaid to Executive, Executive shall promptly remit to the Company the amount thereof.</w:t>
      </w:r>
    </w:p>
    <w:p>
      <w:pPr>
        <w:spacing w:after="0" w:line="1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Executive may be further eligible to participate in such plans, policies, and programs as may be maintained, from time to time, by the Company, the Bank or their affiliates for the benefit of senior executives or employees, including, without limitation, any nonqualified deferred compensation or similar executive benefit plan, fringe benefit plans, profit sharing, life insurance or group medical and other welfare benefit plans. Any such participation shall be determined in accordance with the specific terms and conditions of the documents evidencing any such plans, policies, and programs. Executive agrees that nothing contained herein shall be deemed to require the Company, the Bank or any affiliate thereof to maintain any particular plan, policy, or program for any particular period, and nothing shall be deemed to prohibit the amendment, modification, replacement or termination of any such plan, policy or program. References herein to a plan, policy or program or arrangement shall be deemed to include and refer to any amendment or successor thereto or replacement thereof.</w:t>
      </w:r>
    </w:p>
    <w:p>
      <w:pPr>
        <w:spacing w:after="0" w:line="20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b w:val="1"/>
          <w:bCs w:val="1"/>
          <w:color w:val="auto"/>
        </w:rPr>
        <w:t xml:space="preserve">3.3 Reimbursement of Expenses. </w:t>
      </w:r>
      <w:r>
        <w:rPr>
          <w:rFonts w:ascii="Times New Roman" w:cs="Times New Roman" w:eastAsia="Times New Roman" w:hAnsi="Times New Roman"/>
          <w:sz w:val="19"/>
          <w:szCs w:val="19"/>
          <w:color w:val="auto"/>
        </w:rPr>
        <w:t>The Company shall reimburse Executive for such reasonable and necessary expenses as are incurred by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Executive in carrying out his duties hereunder, consistent with the Company’s standard policies and annual budget. The Company’s obligation to reimburse Executive hereunder shall be contingent upon the timely presentment by Executive of an itemized accounting of such expenditures in accordance with the Company’s policies.</w:t>
      </w:r>
    </w:p>
    <w:p>
      <w:pPr>
        <w:spacing w:after="0" w:line="17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9"/>
          <w:szCs w:val="19"/>
          <w:b w:val="1"/>
          <w:bCs w:val="1"/>
          <w:color w:val="auto"/>
        </w:rPr>
        <w:t>4.</w:t>
        <w:tab/>
        <w:t>Executive’s Separation From Service:</w:t>
      </w:r>
    </w:p>
    <w:p>
      <w:pPr>
        <w:spacing w:after="0" w:line="25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b w:val="1"/>
          <w:bCs w:val="1"/>
          <w:color w:val="auto"/>
        </w:rPr>
        <w:t xml:space="preserve">4.1 Condition Precedent. </w:t>
      </w:r>
      <w:r>
        <w:rPr>
          <w:rFonts w:ascii="Times New Roman" w:cs="Times New Roman" w:eastAsia="Times New Roman" w:hAnsi="Times New Roman"/>
          <w:sz w:val="19"/>
          <w:szCs w:val="19"/>
          <w:color w:val="auto"/>
        </w:rPr>
        <w:t>Except for the payment of the Mandated Amounts (as defined below), as a condition of the receipt of any payment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 the provision of any benefit described in this Section 4, Executive shall timely execute and deliver to the Company a waiver and release, substantially in form attached hereto as Exhibit A hereto, subject to such modification as the Company may deem necessary or appropriate, from time to time (a “Release”). Payment of any amount due hereunder shall be made (or</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40"/>
          </w:cols>
          <w:pgMar w:left="320" w:top="126" w:right="33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6"/>
          <w:szCs w:val="16"/>
          <w:color w:val="auto"/>
        </w:rPr>
        <w:t>Execution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commence) as soon as practicable following such execution and delivery, but in no event more than 90 days after Executive’s Separation Date (as defined below).</w:t>
      </w:r>
    </w:p>
    <w:p>
      <w:pPr>
        <w:jc w:val="both"/>
        <w:spacing w:after="0" w:line="259" w:lineRule="auto"/>
        <w:rPr>
          <w:sz w:val="20"/>
          <w:szCs w:val="20"/>
          <w:color w:val="auto"/>
        </w:rPr>
      </w:pPr>
      <w:r>
        <w:rPr>
          <w:rFonts w:ascii="Times New Roman" w:cs="Times New Roman" w:eastAsia="Times New Roman" w:hAnsi="Times New Roman"/>
          <w:sz w:val="19"/>
          <w:szCs w:val="19"/>
          <w:b w:val="1"/>
          <w:bCs w:val="1"/>
          <w:color w:val="auto"/>
        </w:rPr>
        <w:t>4.2 Separation on Account of Death or Disability</w:t>
      </w:r>
      <w:r>
        <w:rPr>
          <w:rFonts w:ascii="Times New Roman" w:cs="Times New Roman" w:eastAsia="Times New Roman" w:hAnsi="Times New Roman"/>
          <w:sz w:val="19"/>
          <w:szCs w:val="19"/>
          <w:color w:val="auto"/>
        </w:rPr>
        <w:t>. If Executive dies or becomes Disabled, this Agreement and Executive’s employment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hereunder shall terminate (the date of such termination for any reason, Executive’s “Separation Date”) and the Company shall pay to Executive (or to his spouse or estate): (a) the Mandated Amounts; and (b) any Accrued Cash Bonus.</w:t>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As used herein, the “Mandated Amounts” shall consist of: (a) any Base Compensation accrued but unpaid as of Executive’s Separation Date; (b) any amount that is accrued, vested and not otherwise subject to forfeiture under any separate employee or executive benefit plan, policy or program in which Executive participated or was covered as of his Separation Date; (c) any amount, other than an Accrued Cash Bonus, that is not subject to forfeiture and is subject to payment under the LTIP or PBRP in accordance with the terms thereof; and (d) any additional amounts or benefits required by law to be provided, which cannot be waived. Payment or provision of the Mandated Amounts shall be made at the time or times and in the form prescribed under the applicable governing documents or in accordance with governing law, as the case may be.</w:t>
      </w:r>
    </w:p>
    <w:p>
      <w:pPr>
        <w:spacing w:after="0" w:line="20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auto"/>
        </w:rPr>
        <w:t>As used herein, the term “Accrued Cash Bonus” shall mean the amount payable, if any, under the PBRP for the Company’s completed fiscal year preceding the year in which Executive’s Separation Date occurs, which amount has not been paid as of Executive’s Separation Date; such amount, if any, shall be paid at the time such bonuses are ordinarily paid under the PBRP.</w:t>
      </w:r>
    </w:p>
    <w:p>
      <w:pPr>
        <w:spacing w:after="0" w:line="18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As used herein, the term “Disabled” or “Disability” or words of similar import shall mean that Executive is: (a) unable to engage in any substantial gainful activity due to a medically-determinable physical or mental impairment that can be expected to result in death or to last for a continuous period of at least 12 months, as determined by a physician appointed by the Company or reasonably satisfactory to the Company; (b) receiving benefits under the Company’s or an affiliate’s separate long-term disability plan for a period of at least three months as a result of a medically-determinable physical or mental impairment; or (c) has been determined eligible to receive Social Security disability benefits.</w:t>
      </w:r>
    </w:p>
    <w:p>
      <w:pPr>
        <w:spacing w:after="0" w:line="18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b w:val="1"/>
          <w:bCs w:val="1"/>
          <w:color w:val="auto"/>
        </w:rPr>
        <w:t xml:space="preserve">4.3 Involuntarily Separation for Cause. </w:t>
      </w:r>
      <w:r>
        <w:rPr>
          <w:rFonts w:ascii="Times New Roman" w:cs="Times New Roman" w:eastAsia="Times New Roman" w:hAnsi="Times New Roman"/>
          <w:sz w:val="19"/>
          <w:szCs w:val="19"/>
          <w:color w:val="auto"/>
        </w:rPr>
        <w:t>This Agreement may be terminated and Executive’s employment hereunder may be involuntarily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separated by the Company on account of Cause and without notice. In such event, the Company shall pay or provide to Executive the Mandated Amounts and shall have no further obligation hereunder.</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In the event of a separation for Cause hereunder, the Compensation Committee of the Board (or its designee) shall provide written notice to Executive, including a description of the specific reasons for its determination of Cause, including a reasonable opportunity to cure the events giving rise to Cause, to the extent the committee (or designee) determines that such Cause is reasonably susceptible of cure. In the event Executive fails to timely cure such Cause to the satisfaction of the Compensation Committee (or designee), to the extent a cure period has been provided hereunder, the committee (or designee) shall confirm that the actions or inactions of Executive constitute Cause as defined herein. As used herein, the term “Cause” shall mean and be deemed to have occurred if Executive:</w:t>
      </w:r>
    </w:p>
    <w:p>
      <w:pPr>
        <w:spacing w:after="0" w:line="206" w:lineRule="exact"/>
        <w:rPr>
          <w:sz w:val="20"/>
          <w:szCs w:val="20"/>
          <w:color w:val="auto"/>
        </w:rPr>
      </w:pPr>
    </w:p>
    <w:p>
      <w:pPr>
        <w:ind w:left="640" w:hanging="635"/>
        <w:spacing w:after="0" w:line="282" w:lineRule="auto"/>
        <w:tabs>
          <w:tab w:leader="none" w:pos="454"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Commits an intentional act of fraud, embezzlement or theft in the course of his employment or otherwise engaged in any intentional misconduct which is materially injurious to the financial condition or business reputation of the Company or the Bank;</w:t>
      </w:r>
    </w:p>
    <w:p>
      <w:pPr>
        <w:spacing w:after="0" w:line="183" w:lineRule="exact"/>
        <w:rPr>
          <w:rFonts w:ascii="Times New Roman" w:cs="Times New Roman" w:eastAsia="Times New Roman" w:hAnsi="Times New Roman"/>
          <w:sz w:val="19"/>
          <w:szCs w:val="19"/>
          <w:color w:val="auto"/>
        </w:rPr>
      </w:pPr>
    </w:p>
    <w:p>
      <w:pPr>
        <w:ind w:left="340" w:hanging="335"/>
        <w:spacing w:after="0"/>
        <w:tabs>
          <w:tab w:leader="none" w:pos="340"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Commits intentional damage to the property of the Company or the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40"/>
          </w:cols>
          <w:pgMar w:left="320" w:top="125" w:right="33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6"/>
          <w:szCs w:val="16"/>
          <w:color w:val="auto"/>
        </w:rPr>
        <w:t>Execution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hanging="335"/>
        <w:spacing w:after="0"/>
        <w:tabs>
          <w:tab w:leader="none" w:pos="340"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indicted for the commission of a felony or a crime involving moral turpitude;</w:t>
      </w:r>
    </w:p>
    <w:p>
      <w:pPr>
        <w:spacing w:after="0" w:line="255" w:lineRule="exact"/>
        <w:rPr>
          <w:rFonts w:ascii="Times New Roman" w:cs="Times New Roman" w:eastAsia="Times New Roman" w:hAnsi="Times New Roman"/>
          <w:sz w:val="19"/>
          <w:szCs w:val="19"/>
          <w:color w:val="auto"/>
        </w:rPr>
      </w:pPr>
    </w:p>
    <w:p>
      <w:pPr>
        <w:ind w:left="340" w:hanging="335"/>
        <w:spacing w:after="0"/>
        <w:tabs>
          <w:tab w:leader="none" w:pos="340"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Willfully and substantially refuses to perform the essential duties of his position;</w:t>
      </w:r>
    </w:p>
    <w:p>
      <w:pPr>
        <w:spacing w:after="0" w:line="242" w:lineRule="exact"/>
        <w:rPr>
          <w:rFonts w:ascii="Times New Roman" w:cs="Times New Roman" w:eastAsia="Times New Roman" w:hAnsi="Times New Roman"/>
          <w:sz w:val="19"/>
          <w:szCs w:val="19"/>
          <w:color w:val="auto"/>
        </w:rPr>
      </w:pPr>
    </w:p>
    <w:p>
      <w:pPr>
        <w:ind w:left="340" w:hanging="335"/>
        <w:spacing w:after="0"/>
        <w:tabs>
          <w:tab w:leader="none" w:pos="340"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Commits a material breach of this Agreement;</w:t>
      </w:r>
    </w:p>
    <w:p>
      <w:pPr>
        <w:spacing w:after="0" w:line="255" w:lineRule="exact"/>
        <w:rPr>
          <w:rFonts w:ascii="Times New Roman" w:cs="Times New Roman" w:eastAsia="Times New Roman" w:hAnsi="Times New Roman"/>
          <w:sz w:val="19"/>
          <w:szCs w:val="19"/>
          <w:color w:val="auto"/>
        </w:rPr>
      </w:pPr>
    </w:p>
    <w:p>
      <w:pPr>
        <w:ind w:left="640" w:hanging="635"/>
        <w:spacing w:after="0" w:line="282" w:lineRule="auto"/>
        <w:tabs>
          <w:tab w:leader="none" w:pos="335"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Intentionally, recklessly or negligently violates any material provision of any code of ethics, code of conduct or equivalent code or policy of the Company or the Bank applicable to him; or</w:t>
      </w:r>
    </w:p>
    <w:p>
      <w:pPr>
        <w:spacing w:after="0" w:line="183" w:lineRule="exact"/>
        <w:rPr>
          <w:rFonts w:ascii="Times New Roman" w:cs="Times New Roman" w:eastAsia="Times New Roman" w:hAnsi="Times New Roman"/>
          <w:sz w:val="19"/>
          <w:szCs w:val="19"/>
          <w:color w:val="auto"/>
        </w:rPr>
      </w:pPr>
    </w:p>
    <w:p>
      <w:pPr>
        <w:ind w:left="640" w:hanging="635"/>
        <w:spacing w:after="0" w:line="271" w:lineRule="auto"/>
        <w:tabs>
          <w:tab w:leader="none" w:pos="446"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Intentionally, recklessly or negligently violates any material provision of the Sarbanes-Oxley Act of 2002, the Dodd-Frank Wall Street Reform and Consumer Protection Act of 2010 or any of the rules adopted by the Securities and Exchange Commission or any other governmental agency implementing the provisions of these laws.</w:t>
      </w:r>
    </w:p>
    <w:p>
      <w:pPr>
        <w:spacing w:after="0" w:line="19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auto"/>
        </w:rPr>
        <w:t>No act or failure to act on the part of Executive shall be deemed “intentional” if it is due primarily to an error in judgment or negligence, but will be deemed “intentional” only if done or omitted to be done by Executive not in good faith and without reasonable belief that his action(s) or omission(s) are in the best interest of the Company, the Bank or an affiliate thereof.</w:t>
      </w:r>
    </w:p>
    <w:p>
      <w:pPr>
        <w:spacing w:after="0" w:line="19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b w:val="1"/>
          <w:bCs w:val="1"/>
          <w:color w:val="auto"/>
        </w:rPr>
        <w:t>4.4</w:t>
      </w:r>
      <w:r>
        <w:rPr>
          <w:sz w:val="20"/>
          <w:szCs w:val="20"/>
          <w:color w:val="auto"/>
        </w:rPr>
        <w:tab/>
      </w:r>
      <w:r>
        <w:rPr>
          <w:rFonts w:ascii="Times New Roman" w:cs="Times New Roman" w:eastAsia="Times New Roman" w:hAnsi="Times New Roman"/>
          <w:sz w:val="19"/>
          <w:szCs w:val="19"/>
          <w:b w:val="1"/>
          <w:bCs w:val="1"/>
          <w:color w:val="auto"/>
        </w:rPr>
        <w:t xml:space="preserve">Executive’s Constructive Separation. </w:t>
      </w:r>
      <w:r>
        <w:rPr>
          <w:rFonts w:ascii="Times New Roman" w:cs="Times New Roman" w:eastAsia="Times New Roman" w:hAnsi="Times New Roman"/>
          <w:sz w:val="19"/>
          <w:szCs w:val="19"/>
          <w:color w:val="auto"/>
        </w:rPr>
        <w:t>Executive may terminate this Agreement and his employment hereunder on account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Constructive Separation. In such event, the Company shall pay or provide to Executive:</w:t>
      </w:r>
    </w:p>
    <w:p>
      <w:pPr>
        <w:spacing w:after="0" w:line="233" w:lineRule="exact"/>
        <w:rPr>
          <w:sz w:val="20"/>
          <w:szCs w:val="20"/>
          <w:color w:val="auto"/>
        </w:rPr>
      </w:pPr>
    </w:p>
    <w:p>
      <w:pPr>
        <w:ind w:left="320" w:hanging="315"/>
        <w:spacing w:after="0"/>
        <w:tabs>
          <w:tab w:leader="none" w:pos="320"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Mandated Amounts.</w:t>
      </w:r>
    </w:p>
    <w:p>
      <w:pPr>
        <w:spacing w:after="0" w:line="242" w:lineRule="exact"/>
        <w:rPr>
          <w:rFonts w:ascii="Times New Roman" w:cs="Times New Roman" w:eastAsia="Times New Roman" w:hAnsi="Times New Roman"/>
          <w:sz w:val="19"/>
          <w:szCs w:val="19"/>
          <w:color w:val="auto"/>
        </w:rPr>
      </w:pPr>
    </w:p>
    <w:p>
      <w:pPr>
        <w:ind w:left="340" w:hanging="335"/>
        <w:spacing w:after="0"/>
        <w:tabs>
          <w:tab w:leader="none" w:pos="340"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Accrued Cash Bonus.</w:t>
      </w:r>
    </w:p>
    <w:p>
      <w:pPr>
        <w:spacing w:after="0" w:line="255" w:lineRule="exact"/>
        <w:rPr>
          <w:rFonts w:ascii="Times New Roman" w:cs="Times New Roman" w:eastAsia="Times New Roman" w:hAnsi="Times New Roman"/>
          <w:sz w:val="19"/>
          <w:szCs w:val="19"/>
          <w:color w:val="auto"/>
        </w:rPr>
      </w:pPr>
    </w:p>
    <w:p>
      <w:pPr>
        <w:ind w:left="640" w:hanging="635"/>
        <w:spacing w:after="0" w:line="262" w:lineRule="auto"/>
        <w:tabs>
          <w:tab w:leader="none" w:pos="371"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cash payment in the aggregate amount of: (i) Executive’s Base Compensation in effect prior to his Separation Date, determined without regard to any reduction thereof giving rise to Executive’s Constructive Termination, for the remainder of the Employment Term but not less than 12 months; and (ii) Executive’s target bonus payable under the PBRP for the year in which Executive’s Separation Date occurs, prorated to reflect Executive’s period of service during such year; such aggregate amount to be paid in the form of a single-sum not more than 60 days following Executive’s Separation Date or such other time as may be determined in accordance with the Release.</w:t>
      </w:r>
    </w:p>
    <w:p>
      <w:pPr>
        <w:spacing w:after="0" w:line="202" w:lineRule="exact"/>
        <w:rPr>
          <w:rFonts w:ascii="Times New Roman" w:cs="Times New Roman" w:eastAsia="Times New Roman" w:hAnsi="Times New Roman"/>
          <w:sz w:val="19"/>
          <w:szCs w:val="19"/>
          <w:color w:val="auto"/>
        </w:rPr>
      </w:pPr>
    </w:p>
    <w:p>
      <w:pPr>
        <w:ind w:left="640" w:hanging="635"/>
        <w:spacing w:after="0" w:line="271" w:lineRule="auto"/>
        <w:tabs>
          <w:tab w:leader="none" w:pos="393"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vesting or settlement of any outstanding grant or award under the LTIP that would otherwise vest or be deemed free of restriction on account of an involuntary termination of employment by the Company, without Cause, as if Executive’s Construction Termination hereunder constitutes such a termination.</w:t>
      </w:r>
    </w:p>
    <w:p>
      <w:pPr>
        <w:spacing w:after="0" w:line="194" w:lineRule="exact"/>
        <w:rPr>
          <w:rFonts w:ascii="Times New Roman" w:cs="Times New Roman" w:eastAsia="Times New Roman" w:hAnsi="Times New Roman"/>
          <w:sz w:val="19"/>
          <w:szCs w:val="19"/>
          <w:color w:val="auto"/>
        </w:rPr>
      </w:pPr>
    </w:p>
    <w:p>
      <w:pPr>
        <w:ind w:left="640" w:hanging="635"/>
        <w:spacing w:after="0" w:line="262" w:lineRule="auto"/>
        <w:tabs>
          <w:tab w:leader="none" w:pos="363"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Executive and/or his dependents timely elect to continue coverage under any group medical, dental or vision plan of the Company or the Bank, in accordance with Section 4980B(f)(2) of the Internal Revenue Code of 1986, as amended (the “Code”) (other than a health flexible spending account under a self-insured medical reimbursement plan described in Code Section 125), the amount of the applicable continuation coverage premium therefore, payable on the first day of each month, for the lesser of 18 months or the actual period of such coverage as determined in accordance with Code Section 4980B.</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40"/>
          </w:cols>
          <w:pgMar w:left="320" w:top="126" w:right="33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16"/>
          <w:szCs w:val="16"/>
          <w:color w:val="auto"/>
        </w:rPr>
        <w:t>Execution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used herein, the term “Constructive Separation” shall mean:</w:t>
      </w:r>
    </w:p>
    <w:p>
      <w:pPr>
        <w:spacing w:after="0" w:line="255" w:lineRule="exact"/>
        <w:rPr>
          <w:sz w:val="20"/>
          <w:szCs w:val="20"/>
          <w:color w:val="auto"/>
        </w:rPr>
      </w:pPr>
    </w:p>
    <w:p>
      <w:pPr>
        <w:ind w:left="640" w:hanging="635"/>
        <w:spacing w:after="0" w:line="282" w:lineRule="auto"/>
        <w:tabs>
          <w:tab w:leader="none" w:pos="359"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material reduction (other than a reduction in pay uniformly applicable to all officers of the Company) in the amount of Executive’s Base Compensation;</w:t>
      </w:r>
    </w:p>
    <w:p>
      <w:pPr>
        <w:spacing w:after="0" w:line="183" w:lineRule="exact"/>
        <w:rPr>
          <w:rFonts w:ascii="Times New Roman" w:cs="Times New Roman" w:eastAsia="Times New Roman" w:hAnsi="Times New Roman"/>
          <w:sz w:val="19"/>
          <w:szCs w:val="19"/>
          <w:color w:val="auto"/>
        </w:rPr>
      </w:pPr>
    </w:p>
    <w:p>
      <w:pPr>
        <w:ind w:left="640" w:hanging="635"/>
        <w:spacing w:after="0" w:line="261" w:lineRule="auto"/>
        <w:tabs>
          <w:tab w:leader="none" w:pos="362"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material reduction in Executive’s authority, duties or responsibilities from those contemplated in Section 1.2 of this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that</w:t>
      </w:r>
      <w:r>
        <w:rPr>
          <w:rFonts w:ascii="Times New Roman" w:cs="Times New Roman" w:eastAsia="Times New Roman" w:hAnsi="Times New Roman"/>
          <w:sz w:val="19"/>
          <w:szCs w:val="19"/>
          <w:color w:val="auto"/>
        </w:rPr>
        <w:t xml:space="preserve"> a change in title unaccompanied by other changes in duties or authority, shall not be deemed a material reduction hereunder;</w:t>
      </w:r>
    </w:p>
    <w:p>
      <w:pPr>
        <w:ind w:left="320" w:hanging="315"/>
        <w:spacing w:after="0"/>
        <w:tabs>
          <w:tab w:leader="none" w:pos="32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material breach of this Agreement by the Company;</w:t>
      </w:r>
    </w:p>
    <w:p>
      <w:pPr>
        <w:spacing w:after="0" w:line="240" w:lineRule="exact"/>
        <w:rPr>
          <w:rFonts w:ascii="Times New Roman" w:cs="Times New Roman" w:eastAsia="Times New Roman" w:hAnsi="Times New Roman"/>
          <w:sz w:val="19"/>
          <w:szCs w:val="19"/>
          <w:color w:val="auto"/>
        </w:rPr>
      </w:pPr>
    </w:p>
    <w:p>
      <w:pPr>
        <w:ind w:left="640" w:hanging="635"/>
        <w:spacing w:after="0" w:line="282" w:lineRule="auto"/>
        <w:tabs>
          <w:tab w:leader="none" w:pos="335"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requirement by the Company that Executive shall change the location of his primary place of employment to a location more than 30 miles from Executive’s then current principal place of business; or</w:t>
      </w:r>
    </w:p>
    <w:p>
      <w:pPr>
        <w:spacing w:after="0" w:line="183" w:lineRule="exact"/>
        <w:rPr>
          <w:rFonts w:ascii="Times New Roman" w:cs="Times New Roman" w:eastAsia="Times New Roman" w:hAnsi="Times New Roman"/>
          <w:sz w:val="19"/>
          <w:szCs w:val="19"/>
          <w:color w:val="auto"/>
        </w:rPr>
      </w:pPr>
    </w:p>
    <w:p>
      <w:pPr>
        <w:ind w:left="640" w:hanging="635"/>
        <w:spacing w:after="0" w:line="282" w:lineRule="auto"/>
        <w:tabs>
          <w:tab w:leader="none" w:pos="331"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attempt on the part of the Company to require Executive to perform (or omit to perform) any act or to engage (or omit to engage) in any conduct that would constitute illegal action or inaction on the part of Executive.</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No event or condition described in this Section 4.4 shall be deemed to constitute a Constructive Separation unless: (a) Executive promptly gives written notice of his objection to such event or condition, which notice shall be provided no later than 30 days after Executive first knows, or should first know, of its occurrence; (b) such event or condition is not reasonably corrected by the Company promptly after receipt of such notice, but in no event more than 30 days thereafter; and (c) Executive separates from service, such separation occurring not more than 30 days following the expiration of the 30-day correction period described in subparagraph (b) hereof.</w:t>
      </w:r>
    </w:p>
    <w:p>
      <w:pPr>
        <w:spacing w:after="0" w:line="19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b w:val="1"/>
          <w:bCs w:val="1"/>
          <w:color w:val="auto"/>
        </w:rPr>
        <w:t xml:space="preserve">4.5 Involuntary Separation by the Company, Without Cause. </w:t>
      </w:r>
      <w:r>
        <w:rPr>
          <w:rFonts w:ascii="Times New Roman" w:cs="Times New Roman" w:eastAsia="Times New Roman" w:hAnsi="Times New Roman"/>
          <w:sz w:val="19"/>
          <w:szCs w:val="19"/>
          <w:color w:val="auto"/>
        </w:rPr>
        <w:t>The Company may terminate this Agreement and involuntarily separate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Executive’s employment hereunder, without Cause, upon 60 days’ prior written notice to Executive, or such shorter period as may be agreed upon by Executive and the Company. In such event, the Company shall provide to Executive those amounts and benefits described in Section 4.4 hereof, as if Executive’s Constructive Separation had occurred.</w:t>
      </w:r>
    </w:p>
    <w:p>
      <w:pPr>
        <w:spacing w:after="0" w:line="17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b w:val="1"/>
          <w:bCs w:val="1"/>
          <w:color w:val="auto"/>
        </w:rPr>
        <w:t xml:space="preserve">4.6 Separation by Executive. </w:t>
      </w:r>
      <w:r>
        <w:rPr>
          <w:rFonts w:ascii="Times New Roman" w:cs="Times New Roman" w:eastAsia="Times New Roman" w:hAnsi="Times New Roman"/>
          <w:sz w:val="19"/>
          <w:szCs w:val="19"/>
          <w:color w:val="auto"/>
        </w:rPr>
        <w:t>Executive may terminate this Agreement and separate from his employment hereunder, other than on account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Constructive Termination, upon 60 days’ prior written notice to the Company, or such shorter period as may be agreed upon by the Board and Executive. In such event, the Company shall pay or provide the Mandated Amounts and shall have no further obligation hereunder.</w:t>
      </w:r>
    </w:p>
    <w:p>
      <w:pPr>
        <w:spacing w:after="0" w:line="18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9"/>
          <w:szCs w:val="19"/>
          <w:b w:val="1"/>
          <w:bCs w:val="1"/>
          <w:color w:val="auto"/>
        </w:rPr>
        <w:t>4.7</w:t>
        <w:tab/>
        <w:t xml:space="preserve">Expiration of Agreement. </w:t>
      </w:r>
      <w:r>
        <w:rPr>
          <w:rFonts w:ascii="Times New Roman" w:cs="Times New Roman" w:eastAsia="Times New Roman" w:hAnsi="Times New Roman"/>
          <w:sz w:val="19"/>
          <w:szCs w:val="19"/>
          <w:color w:val="auto"/>
        </w:rPr>
        <w:t>If this Agreement shall expire by notice of nonrenewal in accordance with Section 2 hereof and:</w:t>
      </w:r>
    </w:p>
    <w:p>
      <w:pPr>
        <w:spacing w:after="0" w:line="259" w:lineRule="exact"/>
        <w:rPr>
          <w:sz w:val="20"/>
          <w:szCs w:val="20"/>
          <w:color w:val="auto"/>
        </w:rPr>
      </w:pPr>
    </w:p>
    <w:p>
      <w:pPr>
        <w:ind w:left="640" w:hanging="635"/>
        <w:spacing w:after="0" w:line="262" w:lineRule="auto"/>
        <w:tabs>
          <w:tab w:leader="none" w:pos="368"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Executive shall contemporaneously separate from service: (i) if such non-renewal is by the mutual consent of the parties hereto as of the end of the Initial Term, or if such notice is furnished by the Company during the five-year period following the Effective Date, the Company shall pay or provide to Executive the amounts and benefits described in Section 4.5 hereof, as if such separation was involuntary by the Company without Cause; or (ii) if such notice is furnished by the Company after the expiration of such period, or at any time by Executive, he shall be paid or provided the Mandated Amounts.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240"/>
          </w:cols>
          <w:pgMar w:left="320" w:top="126" w:right="33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6"/>
          <w:szCs w:val="16"/>
          <w:color w:val="auto"/>
        </w:rPr>
        <w:t>Execution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720" w:firstLine="5"/>
        <w:spacing w:after="0" w:line="510" w:lineRule="auto"/>
        <w:tabs>
          <w:tab w:leader="none" w:pos="338"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Executive shall continue to perform services for the benefit of the Company, he shall thereafter be deemed an “at will” employee. In either such event, the rights and obligations of the parties hereunder shall cease, except to the extent provided in Section 7.14 hereof.</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b w:val="1"/>
          <w:bCs w:val="1"/>
          <w:color w:val="auto"/>
        </w:rPr>
        <w:t xml:space="preserve">4.8 Return of Property. </w:t>
      </w:r>
      <w:r>
        <w:rPr>
          <w:rFonts w:ascii="Times New Roman" w:cs="Times New Roman" w:eastAsia="Times New Roman" w:hAnsi="Times New Roman"/>
          <w:sz w:val="19"/>
          <w:szCs w:val="19"/>
          <w:color w:val="auto"/>
        </w:rPr>
        <w:t>Upon termination or expiration of this Agreement and the employment of Executive hereunder for any reason,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Executive or his estate shall promptly return to the Company all of the property of the Company and its affiliates, including, without limitation, equipment, computers, mobile telephones, software, credit cards, manuals, customer lists, financial data, letters, notes, notebooks, reports and copies of any of the above and any Confidential Information (as defined below) in the possession or under the control of Executive, regardless of the form in which maintained.</w:t>
      </w:r>
    </w:p>
    <w:p>
      <w:pPr>
        <w:spacing w:after="0" w:line="18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9"/>
          <w:szCs w:val="19"/>
          <w:b w:val="1"/>
          <w:bCs w:val="1"/>
          <w:color w:val="auto"/>
        </w:rPr>
        <w:t>5.</w:t>
        <w:tab/>
        <w:t>Change In Control:</w:t>
      </w:r>
    </w:p>
    <w:p>
      <w:pPr>
        <w:spacing w:after="0" w:line="25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b w:val="1"/>
          <w:bCs w:val="1"/>
          <w:color w:val="auto"/>
        </w:rPr>
        <w:t xml:space="preserve">5.1 Condition Precedent. </w:t>
      </w:r>
      <w:r>
        <w:rPr>
          <w:rFonts w:ascii="Times New Roman" w:cs="Times New Roman" w:eastAsia="Times New Roman" w:hAnsi="Times New Roman"/>
          <w:sz w:val="19"/>
          <w:szCs w:val="19"/>
          <w:color w:val="auto"/>
        </w:rPr>
        <w:t>Except for the payment of the Mandated Amounts, as a condition of the receipt of any payment or the provision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any benefit hereunder, Executive shall timely execute and deliver to the Company a Release. Executive shall further acknowledge and agree that any payment or benefit under this Section 5 shall be in lieu of, and not in addition to, any severance payment, separation pay or other benefit or cash award payable to Executive on account of his separation from service, whether under this Agreement or otherwise, such that there shall be no duplication of payments or benefits hereunder.</w:t>
      </w:r>
    </w:p>
    <w:p>
      <w:pPr>
        <w:spacing w:after="0" w:line="19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b w:val="1"/>
          <w:bCs w:val="1"/>
          <w:color w:val="auto"/>
        </w:rPr>
        <w:t xml:space="preserve">5.2 Executive’s Separation From Service in Connection With a Change in Control. </w:t>
      </w:r>
      <w:r>
        <w:rPr>
          <w:rFonts w:ascii="Times New Roman" w:cs="Times New Roman" w:eastAsia="Times New Roman" w:hAnsi="Times New Roman"/>
          <w:sz w:val="19"/>
          <w:szCs w:val="19"/>
          <w:color w:val="auto"/>
        </w:rPr>
        <w:t>If Executive separates from service with the Company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its affiliates during the 24-month period following a Change in Control (as defined in the LTIP), whether involuntarily, without Cause, or on account of his Constructive Separation, the Company shall pay or provide to Executive:</w:t>
      </w:r>
    </w:p>
    <w:p>
      <w:pPr>
        <w:spacing w:after="0" w:line="193" w:lineRule="exact"/>
        <w:rPr>
          <w:sz w:val="20"/>
          <w:szCs w:val="20"/>
          <w:color w:val="auto"/>
        </w:rPr>
      </w:pPr>
    </w:p>
    <w:p>
      <w:pPr>
        <w:ind w:left="320" w:hanging="315"/>
        <w:spacing w:after="0"/>
        <w:tabs>
          <w:tab w:leader="none" w:pos="320"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Mandated Amounts.</w:t>
      </w:r>
    </w:p>
    <w:p>
      <w:pPr>
        <w:spacing w:after="0" w:line="242" w:lineRule="exact"/>
        <w:rPr>
          <w:rFonts w:ascii="Times New Roman" w:cs="Times New Roman" w:eastAsia="Times New Roman" w:hAnsi="Times New Roman"/>
          <w:sz w:val="19"/>
          <w:szCs w:val="19"/>
          <w:color w:val="auto"/>
        </w:rPr>
      </w:pPr>
    </w:p>
    <w:p>
      <w:pPr>
        <w:ind w:left="340" w:hanging="335"/>
        <w:spacing w:after="0"/>
        <w:tabs>
          <w:tab w:leader="none" w:pos="340"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Accrued Cash Bonus.</w:t>
      </w:r>
    </w:p>
    <w:p>
      <w:pPr>
        <w:spacing w:after="0" w:line="255" w:lineRule="exact"/>
        <w:rPr>
          <w:rFonts w:ascii="Times New Roman" w:cs="Times New Roman" w:eastAsia="Times New Roman" w:hAnsi="Times New Roman"/>
          <w:sz w:val="19"/>
          <w:szCs w:val="19"/>
          <w:color w:val="auto"/>
        </w:rPr>
      </w:pPr>
    </w:p>
    <w:p>
      <w:pPr>
        <w:ind w:left="640" w:hanging="635"/>
        <w:spacing w:after="0" w:line="262" w:lineRule="auto"/>
        <w:tabs>
          <w:tab w:leader="none" w:pos="345"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cash payment equal to two times the aggregate of Executive’s (i) Base Compensation in effect prior to the Change in Control, determined without regard to any reduction thereof giving rise to a Constructive Termination, and (ii) average bonus paid under the PBRP with respect to the Company’s two whole fiscal years preceding such Change in Control; such aggregate amount to be paid in the form of a single-sum not more than 60 days following Executive’s Separation Date, unless otherwise provided in a Release.</w:t>
      </w:r>
    </w:p>
    <w:p>
      <w:pPr>
        <w:spacing w:after="0" w:line="203" w:lineRule="exact"/>
        <w:rPr>
          <w:rFonts w:ascii="Times New Roman" w:cs="Times New Roman" w:eastAsia="Times New Roman" w:hAnsi="Times New Roman"/>
          <w:sz w:val="19"/>
          <w:szCs w:val="19"/>
          <w:color w:val="auto"/>
        </w:rPr>
      </w:pPr>
    </w:p>
    <w:p>
      <w:pPr>
        <w:ind w:left="640" w:hanging="635"/>
        <w:spacing w:after="0" w:line="262" w:lineRule="auto"/>
        <w:tabs>
          <w:tab w:leader="none" w:pos="401"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Executive and/or his dependents timely elect to continue group medical, dental or vision coverage within the meaning of Code Section 4980B(f)(2) with respect to a plan sponsored by the Company or the Bank (other than a health flexible spending account under a self-insured medical reimbursement plan described in Code Section 125), the amount of the applicable continuation coverage premium therefore, payable on the first day of each month, for the lesser of 18 months or the period of such coverage as determined in accordance with Code Section 4980B.</w:t>
      </w:r>
    </w:p>
    <w:p>
      <w:pPr>
        <w:spacing w:after="0" w:line="202" w:lineRule="exact"/>
        <w:rPr>
          <w:rFonts w:ascii="Times New Roman" w:cs="Times New Roman" w:eastAsia="Times New Roman" w:hAnsi="Times New Roman"/>
          <w:sz w:val="19"/>
          <w:szCs w:val="19"/>
          <w:color w:val="auto"/>
        </w:rPr>
      </w:pPr>
    </w:p>
    <w:p>
      <w:pPr>
        <w:ind w:left="320" w:hanging="315"/>
        <w:spacing w:after="0"/>
        <w:tabs>
          <w:tab w:leader="none" w:pos="320"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outstanding award or grant shall vest, or be deemed free of restriction or otherwise settled as provided under the terms the LTIP.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1240"/>
          </w:cols>
          <w:pgMar w:left="320" w:top="126" w:right="33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6"/>
          <w:szCs w:val="16"/>
          <w:color w:val="auto"/>
        </w:rPr>
        <w:t>Execution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b w:val="1"/>
          <w:bCs w:val="1"/>
          <w:color w:val="auto"/>
        </w:rPr>
        <w:t xml:space="preserve">5.3 Limitation. </w:t>
      </w:r>
      <w:r>
        <w:rPr>
          <w:rFonts w:ascii="Times New Roman" w:cs="Times New Roman" w:eastAsia="Times New Roman" w:hAnsi="Times New Roman"/>
          <w:sz w:val="19"/>
          <w:szCs w:val="19"/>
          <w:color w:val="auto"/>
        </w:rPr>
        <w:t>Notwithstanding any provision of this Agreement to the contrary if the aggregate of all payments and benefits due to Executive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hereunder, including any payment or benefit provided to Executive under a separate plan or arrangement (collectively, the “Aggregate Payments”) would result in any such payment being a “parachute payment” within the meaning of Code Section 280G, such payments shall be reduced to the minimum extent necessary (but in no event to less than zero) so that no portion of such payments and benefits, as so reduced, is deemed to constitute an “excess parachute payment.” For this purpose:</w:t>
      </w:r>
    </w:p>
    <w:p>
      <w:pPr>
        <w:spacing w:after="0" w:line="3" w:lineRule="exact"/>
        <w:rPr>
          <w:sz w:val="20"/>
          <w:szCs w:val="20"/>
          <w:color w:val="auto"/>
        </w:rPr>
      </w:pPr>
    </w:p>
    <w:p>
      <w:pPr>
        <w:ind w:left="640" w:hanging="635"/>
        <w:spacing w:after="0" w:line="280" w:lineRule="auto"/>
        <w:tabs>
          <w:tab w:leader="none" w:pos="349"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determination of whether any reduction in the Aggregate Payments is required shall be made at the expense of the Company and by the Company’s independent accountants or another independent accountant agreed upon by Executive and the Company.</w:t>
      </w:r>
    </w:p>
    <w:p>
      <w:pPr>
        <w:spacing w:after="0" w:line="172" w:lineRule="exact"/>
        <w:rPr>
          <w:rFonts w:ascii="Times New Roman" w:cs="Times New Roman" w:eastAsia="Times New Roman" w:hAnsi="Times New Roman"/>
          <w:sz w:val="19"/>
          <w:szCs w:val="19"/>
          <w:color w:val="auto"/>
        </w:rPr>
      </w:pPr>
    </w:p>
    <w:p>
      <w:pPr>
        <w:ind w:left="640" w:hanging="635"/>
        <w:spacing w:after="0" w:line="261" w:lineRule="auto"/>
        <w:tabs>
          <w:tab w:leader="none" w:pos="367"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that any portion of the Aggregate Payments is required to be reduced hereunder, then the reduction shall occur in the following order: (i) reduction of the amount payable under Section 5.2c hereof; (ii) reduction of Accrued Cash Bonus; and (iii) forfeiture of any grant or award under the LTIP. Within any of the foregoing categories, a reduction shall occur first with respect to amounts that are not deemed to constitute a “deferral of compensation” within the meaning of and subject to Code Section 409A (“Nonqualified Deferred Compensation”) and then with respect to amounts that are treated as Nonqualified Deferred Compensation, with such reduction being applied in each case to the payments in the reverse order in which they would otherwise be made (that is, later payments shall be reduced before earlier payments).</w:t>
      </w:r>
    </w:p>
    <w:p>
      <w:pPr>
        <w:spacing w:after="0" w:line="18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9"/>
          <w:szCs w:val="19"/>
          <w:b w:val="1"/>
          <w:bCs w:val="1"/>
          <w:color w:val="auto"/>
        </w:rPr>
        <w:t>6.</w:t>
        <w:tab/>
        <w:t>Limitations On Activities:</w:t>
      </w:r>
    </w:p>
    <w:p>
      <w:pPr>
        <w:spacing w:after="0" w:line="255"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9"/>
          <w:szCs w:val="19"/>
          <w:b w:val="1"/>
          <w:bCs w:val="1"/>
          <w:color w:val="auto"/>
        </w:rPr>
        <w:t xml:space="preserve">6.1 Consideration for Limitation on Activities. </w:t>
      </w:r>
      <w:r>
        <w:rPr>
          <w:rFonts w:ascii="Times New Roman" w:cs="Times New Roman" w:eastAsia="Times New Roman" w:hAnsi="Times New Roman"/>
          <w:sz w:val="19"/>
          <w:szCs w:val="19"/>
          <w:color w:val="auto"/>
        </w:rPr>
        <w:t>Executive acknowledges that the execution of this Agreement constitutes consideration for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covenants contained herein, the sufficiency of which is hereby acknowledged by Executive.</w:t>
      </w:r>
    </w:p>
    <w:p>
      <w:pPr>
        <w:spacing w:after="0" w:line="14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b w:val="1"/>
          <w:bCs w:val="1"/>
          <w:color w:val="auto"/>
        </w:rPr>
        <w:t xml:space="preserve">6.2 Confidential Information. </w:t>
      </w:r>
      <w:r>
        <w:rPr>
          <w:rFonts w:ascii="Times New Roman" w:cs="Times New Roman" w:eastAsia="Times New Roman" w:hAnsi="Times New Roman"/>
          <w:sz w:val="19"/>
          <w:szCs w:val="19"/>
          <w:color w:val="auto"/>
        </w:rPr>
        <w:t>Executive recognizes and acknowledges that during the Employment Term and at all times thereafter,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Executive will have access to or possess confidential, proprietary, non-public information concerning the Company, the Bank and their affiliates (collectively, the “Protected Entities”), whether or not considered a “trade secret” under applicable law, which may include, without limitation:</w:t>
      </w:r>
    </w:p>
    <w:p>
      <w:pPr>
        <w:spacing w:after="0" w:line="1" w:lineRule="exact"/>
        <w:rPr>
          <w:sz w:val="20"/>
          <w:szCs w:val="20"/>
          <w:color w:val="auto"/>
        </w:rPr>
      </w:pPr>
    </w:p>
    <w:p>
      <w:pPr>
        <w:jc w:val="both"/>
        <w:ind w:firstLine="5"/>
        <w:spacing w:after="0" w:line="254" w:lineRule="auto"/>
        <w:tabs>
          <w:tab w:leader="none" w:pos="278"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books, records and policies relating to operations, finance, accounting, personnel and management; (b) information related to any business entered into by the Protected Entities; (c) credit policies and practices, databases, customer and prospective customer lists, depositor and prospective depositor lists, and information obtained on competitors and tactics; (d) various other non-public trade or business information, including business opportunities and expansion or acquisition strategies, marketing, business diversification plans, methods and processes; and</w:t>
      </w:r>
    </w:p>
    <w:p>
      <w:pPr>
        <w:spacing w:after="0" w:line="3" w:lineRule="exact"/>
        <w:rPr>
          <w:rFonts w:ascii="Times New Roman" w:cs="Times New Roman" w:eastAsia="Times New Roman" w:hAnsi="Times New Roman"/>
          <w:sz w:val="19"/>
          <w:szCs w:val="19"/>
          <w:color w:val="auto"/>
        </w:rPr>
      </w:pPr>
    </w:p>
    <w:p>
      <w:pPr>
        <w:jc w:val="both"/>
        <w:ind w:firstLine="5"/>
        <w:spacing w:after="0" w:line="259" w:lineRule="auto"/>
        <w:tabs>
          <w:tab w:leader="none" w:pos="269"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retail marketing and operating policies and practices, including without limitation, policies and practices concerning the identity, solicitation, acquisition, management, resale or cancellation of unsecured or secured credit card accounts, loan or lease accounts, other accounts relating to consumer products and services and depository arrangements.</w:t>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 xml:space="preserve">Executive agrees that he will not, whether during the Employment Term or at any time afterwards, make any independent use of, or disclose to any other person or organization, any Confidential Information, except: (a) as may be customarily required in the course of his employment with the Company; (b) as may be expressly authorized by the Company; (c) as may be required by law or legal process, </w:t>
      </w:r>
      <w:r>
        <w:rPr>
          <w:rFonts w:ascii="Times New Roman" w:cs="Times New Roman" w:eastAsia="Times New Roman" w:hAnsi="Times New Roman"/>
          <w:sz w:val="19"/>
          <w:szCs w:val="19"/>
          <w:u w:val="single" w:color="auto"/>
          <w:color w:val="auto"/>
        </w:rPr>
        <w:t>provided that</w:t>
      </w:r>
      <w:r>
        <w:rPr>
          <w:rFonts w:ascii="Times New Roman" w:cs="Times New Roman" w:eastAsia="Times New Roman" w:hAnsi="Times New Roman"/>
          <w:sz w:val="19"/>
          <w:szCs w:val="19"/>
          <w:color w:val="auto"/>
        </w:rPr>
        <w:t xml:space="preserve"> Executive shall furnish to the Company not less than five business days prior to such disclosure, or such shorter period as may be necessitated by facts and circumstances, written notice of such law or process, including a copy of all relevant documents, and shall cooperate with the Company to object to or limit</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11240"/>
          </w:cols>
          <w:pgMar w:left="320" w:top="126" w:right="33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6"/>
          <w:szCs w:val="16"/>
          <w:color w:val="auto"/>
        </w:rPr>
        <w:t>Execution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9"/>
          <w:szCs w:val="19"/>
          <w:color w:val="auto"/>
        </w:rPr>
        <w:t>such disclosure or to place such disclosure under seal; or (d) if and to the extent such information shall have become public information, other than on account of Executive’s breach of this covenant.</w:t>
      </w:r>
    </w:p>
    <w:p>
      <w:pPr>
        <w:spacing w:after="0" w:line="154"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9"/>
          <w:szCs w:val="19"/>
          <w:b w:val="1"/>
          <w:bCs w:val="1"/>
          <w:color w:val="auto"/>
        </w:rPr>
        <w:t xml:space="preserve">6.3 Non-Solicitation. </w:t>
      </w:r>
      <w:r>
        <w:rPr>
          <w:rFonts w:ascii="Times New Roman" w:cs="Times New Roman" w:eastAsia="Times New Roman" w:hAnsi="Times New Roman"/>
          <w:sz w:val="19"/>
          <w:szCs w:val="19"/>
          <w:color w:val="auto"/>
        </w:rPr>
        <w:t>Executive agrees that during the two-year period commencing on his Separation Date (regardless of the reason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therefore), he shall not, directly or indirectly, for his own benefit, on behalf of another or to the Company’s detriment:</w:t>
      </w:r>
    </w:p>
    <w:p>
      <w:pPr>
        <w:spacing w:after="0" w:line="153" w:lineRule="exact"/>
        <w:rPr>
          <w:sz w:val="20"/>
          <w:szCs w:val="20"/>
          <w:color w:val="auto"/>
        </w:rPr>
      </w:pPr>
    </w:p>
    <w:p>
      <w:pPr>
        <w:ind w:left="640" w:hanging="635"/>
        <w:spacing w:after="0" w:line="296" w:lineRule="auto"/>
        <w:tabs>
          <w:tab w:leader="none" w:pos="399"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Solicit for any business purpose, hire or offer to hire, or participate in the business solicitation or hiring of, any officer or employee of a Protected Entity;</w:t>
      </w:r>
    </w:p>
    <w:p>
      <w:pPr>
        <w:spacing w:after="0" w:line="171" w:lineRule="exact"/>
        <w:rPr>
          <w:rFonts w:ascii="Times New Roman" w:cs="Times New Roman" w:eastAsia="Times New Roman" w:hAnsi="Times New Roman"/>
          <w:sz w:val="19"/>
          <w:szCs w:val="19"/>
          <w:color w:val="auto"/>
        </w:rPr>
      </w:pPr>
    </w:p>
    <w:p>
      <w:pPr>
        <w:ind w:left="640" w:hanging="635"/>
        <w:spacing w:after="0" w:line="282" w:lineRule="auto"/>
        <w:tabs>
          <w:tab w:leader="none" w:pos="480"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Persuade, or attempt to persuade in any manner, any officer, employee, agent or consultant of a Protected Entity to discontinue any relationship with a Protected Entity; or</w:t>
      </w:r>
    </w:p>
    <w:p>
      <w:pPr>
        <w:spacing w:after="0" w:line="183" w:lineRule="exact"/>
        <w:rPr>
          <w:rFonts w:ascii="Times New Roman" w:cs="Times New Roman" w:eastAsia="Times New Roman" w:hAnsi="Times New Roman"/>
          <w:sz w:val="19"/>
          <w:szCs w:val="19"/>
          <w:color w:val="auto"/>
        </w:rPr>
      </w:pPr>
    </w:p>
    <w:p>
      <w:pPr>
        <w:ind w:left="640" w:hanging="635"/>
        <w:spacing w:after="0" w:line="271" w:lineRule="auto"/>
        <w:tabs>
          <w:tab w:leader="none" w:pos="436"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Solicit or divert, or attempt to solicit or divert, any customer or depositor of the Bank, as determined on Executive’s Separation Date, including any prospective or potential customer or depositor of the Bank with respect to which the Bank has expended material efforts to solicit before his Separation Date.</w:t>
      </w:r>
    </w:p>
    <w:p>
      <w:pPr>
        <w:spacing w:after="0" w:line="1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b w:val="1"/>
          <w:bCs w:val="1"/>
          <w:color w:val="auto"/>
        </w:rPr>
        <w:t>6.4 Non-Competition</w:t>
      </w:r>
      <w:r>
        <w:rPr>
          <w:rFonts w:ascii="Times New Roman" w:cs="Times New Roman" w:eastAsia="Times New Roman" w:hAnsi="Times New Roman"/>
          <w:sz w:val="19"/>
          <w:szCs w:val="19"/>
          <w:color w:val="auto"/>
        </w:rPr>
        <w:t>. Executive agrees that he shall not, for a period of two-years following his Separation Date in respect of a separation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described in Section 5.2 hereof, or for a period of one-year following his Separation Date in respect of any other reason therefore, whether as an employee, officer, director, shareholder, owner, partner, joint venturer, independent contractor, consultant or in another managerial capacity, engage in the Banking Business within the Restricted Area. For purposes of this Section 6.4, the term “Banking Business” shall mean the management and/or operation of a retail bank or other financial institution, securities brokerage, or insurance agency or brokerage. The term “Restricted Area” shall mean the state in which the Company’s corporate headquarters is located as of Executive’s Separation Date and the 100-mile radius from such headquarters.</w:t>
      </w:r>
    </w:p>
    <w:p>
      <w:pPr>
        <w:spacing w:after="0" w:line="20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b w:val="1"/>
          <w:bCs w:val="1"/>
          <w:color w:val="auto"/>
        </w:rPr>
        <w:t xml:space="preserve">6.5 Business Reputation. </w:t>
      </w:r>
      <w:r>
        <w:rPr>
          <w:rFonts w:ascii="Times New Roman" w:cs="Times New Roman" w:eastAsia="Times New Roman" w:hAnsi="Times New Roman"/>
          <w:sz w:val="19"/>
          <w:szCs w:val="19"/>
          <w:color w:val="auto"/>
        </w:rPr>
        <w:t>Executive agrees that during the Employment Term and at all times thereafter, he shall refrain from making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publishing any adverse, untrue or misleading statement which has, or may reasonably be anticipated to have, the effect of demeaning the name or business reputation of the Company, except to the extent true and required by law or legal process.</w:t>
      </w:r>
    </w:p>
    <w:p>
      <w:pPr>
        <w:spacing w:after="0" w:line="176"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9"/>
          <w:szCs w:val="19"/>
          <w:b w:val="1"/>
          <w:bCs w:val="1"/>
          <w:color w:val="auto"/>
        </w:rPr>
        <w:t xml:space="preserve">6.6 Reformation. </w:t>
      </w:r>
      <w:r>
        <w:rPr>
          <w:rFonts w:ascii="Times New Roman" w:cs="Times New Roman" w:eastAsia="Times New Roman" w:hAnsi="Times New Roman"/>
          <w:sz w:val="19"/>
          <w:szCs w:val="19"/>
          <w:color w:val="auto"/>
        </w:rPr>
        <w:t>The parties agree that each of the covenants set forth herein is intended to constitute a separate restriction. Should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covenant be declared invalid or unenforceable, such covenant shall be deemed severable from and shall not affect the remainder thereof.</w:t>
      </w:r>
    </w:p>
    <w:p>
      <w:pPr>
        <w:spacing w:after="0" w:line="16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The parties further agree that each of the covenants contained herein is reasonable in both time and geographic scope. If and to the extent a court of competent jurisdiction or an arbitrator, as the case may be, determines that any of the covenants is unreasonable, then it is the intention of the parties that such covenant or covenants be enforced to the fullest extent that such court or arbitrator deems reasonable and that this Agreement shall be deemed reformed to the extent necessary to permit such enforcement.</w:t>
      </w:r>
    </w:p>
    <w:p>
      <w:pPr>
        <w:spacing w:after="0" w:line="20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b w:val="1"/>
          <w:bCs w:val="1"/>
          <w:color w:val="auto"/>
        </w:rPr>
        <w:t xml:space="preserve">6.7 Remedies. </w:t>
      </w:r>
      <w:r>
        <w:rPr>
          <w:rFonts w:ascii="Times New Roman" w:cs="Times New Roman" w:eastAsia="Times New Roman" w:hAnsi="Times New Roman"/>
          <w:sz w:val="19"/>
          <w:szCs w:val="19"/>
          <w:color w:val="auto"/>
        </w:rPr>
        <w:t>In the event of a breach or threatened breach by Executive of the provisions of Section 6 hereof, Executive agrees that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 shall be entitled to seek a temporary restraining order or a preliminary injunction without the necessity of posting bond in connection therewith, whether in a court of law or by means of arbitration, in the Company’s discretion. Nothing contained herein shall be construed as prohibiting the Company from pursuing any other remedy available to it for such breach or threatened breach, whether in law or equity, including the recovery of damages from Executive.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w:t>
      </w:r>
    </w:p>
    <w:p>
      <w:pPr>
        <w:sectPr>
          <w:pgSz w:w="11900" w:h="16838" w:orient="portrait"/>
          <w:cols w:equalWidth="0" w:num="1">
            <w:col w:w="11240"/>
          </w:cols>
          <w:pgMar w:left="320" w:top="126" w:right="33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6"/>
          <w:szCs w:val="16"/>
          <w:color w:val="auto"/>
        </w:rPr>
        <w:t>Execution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 xml:space="preserve">Executive further agrees that upon the issuance of a temporary restraining order, the Company may, in its discretion, suspend any payments or benefits due to Executive or his dependents under this Agreement; </w:t>
      </w:r>
      <w:r>
        <w:rPr>
          <w:rFonts w:ascii="Times New Roman" w:cs="Times New Roman" w:eastAsia="Times New Roman" w:hAnsi="Times New Roman"/>
          <w:sz w:val="19"/>
          <w:szCs w:val="19"/>
          <w:u w:val="single" w:color="auto"/>
          <w:color w:val="auto"/>
        </w:rPr>
        <w:t>provided that</w:t>
      </w:r>
      <w:r>
        <w:rPr>
          <w:rFonts w:ascii="Times New Roman" w:cs="Times New Roman" w:eastAsia="Times New Roman" w:hAnsi="Times New Roman"/>
          <w:sz w:val="19"/>
          <w:szCs w:val="19"/>
          <w:color w:val="auto"/>
        </w:rPr>
        <w:t xml:space="preserve"> such payments shall be resumed when the Company reasonably determines that such breach or threatened breach has been corrected or cured, to the extent that such breach is susceptible of correction or cure. The Company shall provide to Executive written notice of the events giving rise to Executive’s breach or threatened breach of the provisions of this Agreement, including a statement as to whether the Company reasonably believes that such breach or threatened breach is susceptible of cure, at least two business days before seeking a temporary restraining order hereunder. Thereafter, Executive may correct such breach or threatened breach to the reasonable satisfaction of the Company; </w:t>
      </w:r>
      <w:r>
        <w:rPr>
          <w:rFonts w:ascii="Times New Roman" w:cs="Times New Roman" w:eastAsia="Times New Roman" w:hAnsi="Times New Roman"/>
          <w:sz w:val="19"/>
          <w:szCs w:val="19"/>
          <w:u w:val="single" w:color="auto"/>
          <w:color w:val="auto"/>
        </w:rPr>
        <w:t>provided that</w:t>
      </w:r>
      <w:r>
        <w:rPr>
          <w:rFonts w:ascii="Times New Roman" w:cs="Times New Roman" w:eastAsia="Times New Roman" w:hAnsi="Times New Roman"/>
          <w:sz w:val="19"/>
          <w:szCs w:val="19"/>
          <w:color w:val="auto"/>
        </w:rPr>
        <w:t xml:space="preserve"> if Executive fails to correct such breach or threatened breach within such two-day period, nothing contained herein shall preclude or delay the Company’s ability to seek a temporary restraining order hereunder.</w:t>
      </w:r>
    </w:p>
    <w:p>
      <w:pPr>
        <w:spacing w:after="0" w:line="200" w:lineRule="exact"/>
        <w:rPr>
          <w:sz w:val="20"/>
          <w:szCs w:val="20"/>
          <w:color w:val="auto"/>
        </w:rPr>
      </w:pPr>
    </w:p>
    <w:p>
      <w:pPr>
        <w:spacing w:after="0" w:line="22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9"/>
          <w:szCs w:val="19"/>
          <w:b w:val="1"/>
          <w:bCs w:val="1"/>
          <w:color w:val="auto"/>
        </w:rPr>
        <w:t>7.</w:t>
        <w:tab/>
        <w:t>Miscellaneous:</w:t>
      </w:r>
    </w:p>
    <w:p>
      <w:pPr>
        <w:spacing w:after="0" w:line="25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b w:val="1"/>
          <w:bCs w:val="1"/>
          <w:color w:val="auto"/>
        </w:rPr>
        <w:t xml:space="preserve">7.1 Mitigation Not Required. </w:t>
      </w:r>
      <w:r>
        <w:rPr>
          <w:rFonts w:ascii="Times New Roman" w:cs="Times New Roman" w:eastAsia="Times New Roman" w:hAnsi="Times New Roman"/>
          <w:sz w:val="19"/>
          <w:szCs w:val="19"/>
          <w:color w:val="auto"/>
        </w:rPr>
        <w:t>As a condition of any payment hereunder, Executive shall not be required to mitigate the amount of such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payment by seeking other employment or otherwise, nor will any profits, income, earnings or other benefits from any source whatsoever create any mitigation, offset, reduction or any other obligation on the part of Executive under this Agreement.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b w:val="1"/>
          <w:bCs w:val="1"/>
          <w:color w:val="auto"/>
        </w:rPr>
        <w:t xml:space="preserve">7.2 Enforcement of This Agreement. </w:t>
      </w:r>
      <w:r>
        <w:rPr>
          <w:rFonts w:ascii="Times New Roman" w:cs="Times New Roman" w:eastAsia="Times New Roman" w:hAnsi="Times New Roman"/>
          <w:sz w:val="19"/>
          <w:szCs w:val="19"/>
          <w:color w:val="auto"/>
        </w:rPr>
        <w:t>In addition to the Company’s equitable remedies provided under Section 6 hereof, which need not be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exclusively resolved by arbitration, in the event that any legal dispute arises in connection with, relating to, or concerning this Agreement, or in the event of any claim for breach or violation of any provision of this Agreement, Executive agrees that such dispute or claim will be resolved by arbitration. Any such arbitration proceeding shall be conducted in accordance with the rules of the American Arbitration Association (“AAA”) concerning the resolution of employment disputes. Any such dispute or claim will be presented to a single arbitrator selected by mutual agreement of the Executive and the Company (or the arbitrator will be selected in accordance with the rules of the AAA). All determinations of the arbitrator will be final and binding upon the Executive and the Company. Except as provided in Section 7.3 hereof, each party to the arbitration proceeding will bear its own costs in connection with such arbitration proceedings, except that unless otherwise paid by the Company in accordance with such section, the costs and expenses of the arbitrator will be divided evenly between the parties. The venue for any arbitration proceeding and for any judicial proceeding related to this arbitration provision (including a judicial proceeding to enforce this provision) will be in Tupelo, Mississippi.</w:t>
      </w:r>
    </w:p>
    <w:p>
      <w:pPr>
        <w:spacing w:after="0" w:line="200" w:lineRule="exact"/>
        <w:rPr>
          <w:sz w:val="20"/>
          <w:szCs w:val="20"/>
          <w:color w:val="auto"/>
        </w:rPr>
      </w:pPr>
    </w:p>
    <w:p>
      <w:pPr>
        <w:spacing w:after="0" w:line="22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b w:val="1"/>
          <w:bCs w:val="1"/>
          <w:color w:val="auto"/>
        </w:rPr>
        <w:t xml:space="preserve">7.3 Attorneys’ Fees. </w:t>
      </w:r>
      <w:r>
        <w:rPr>
          <w:rFonts w:ascii="Times New Roman" w:cs="Times New Roman" w:eastAsia="Times New Roman" w:hAnsi="Times New Roman"/>
          <w:sz w:val="19"/>
          <w:szCs w:val="19"/>
          <w:color w:val="auto"/>
        </w:rPr>
        <w:t>In the event of a dispute in connection with this Agreement, all costs, fees and expenses, including attorneys’ fees, of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litigation, arbitration or other legal action incurred by Executive with respect to which Executive substantially prevails shall be reimbursed by the Company, without interest thereon.</w:t>
      </w:r>
    </w:p>
    <w:p>
      <w:pPr>
        <w:spacing w:after="0" w:line="18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b w:val="1"/>
          <w:bCs w:val="1"/>
          <w:color w:val="auto"/>
        </w:rPr>
        <w:t xml:space="preserve">7.4 No Set-Off or Defense. </w:t>
      </w:r>
      <w:r>
        <w:rPr>
          <w:rFonts w:ascii="Times New Roman" w:cs="Times New Roman" w:eastAsia="Times New Roman" w:hAnsi="Times New Roman"/>
          <w:sz w:val="19"/>
          <w:szCs w:val="19"/>
          <w:color w:val="auto"/>
        </w:rPr>
        <w:t>There shall be no right of set-off or counterclaim in respect of any claim, debt or obligation against any payment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Executive provided for in this Agreement. Executive’s claim that the Company has breached this Agreement shall not constitute a justification or defense for Executive’s breach of any provision hereof.</w:t>
      </w:r>
    </w:p>
    <w:p>
      <w:pPr>
        <w:spacing w:after="0" w:line="1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9"/>
          <w:szCs w:val="19"/>
          <w:b w:val="1"/>
          <w:bCs w:val="1"/>
          <w:color w:val="auto"/>
        </w:rPr>
        <w:t xml:space="preserve">7.5 Assistance with Litigation. </w:t>
      </w:r>
      <w:r>
        <w:rPr>
          <w:rFonts w:ascii="Times New Roman" w:cs="Times New Roman" w:eastAsia="Times New Roman" w:hAnsi="Times New Roman"/>
          <w:sz w:val="19"/>
          <w:szCs w:val="19"/>
          <w:color w:val="auto"/>
        </w:rPr>
        <w:t>For a period of two years after his Separation Date, Executive will furnish such information and provide such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assistance as may be reasonably necessary in connection with</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w:t>
      </w:r>
    </w:p>
    <w:p>
      <w:pPr>
        <w:sectPr>
          <w:pgSz w:w="11900" w:h="16838" w:orient="portrait"/>
          <w:cols w:equalWidth="0" w:num="1">
            <w:col w:w="11240"/>
          </w:cols>
          <w:pgMar w:left="320" w:top="125" w:right="33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6"/>
          <w:szCs w:val="16"/>
          <w:color w:val="auto"/>
        </w:rPr>
        <w:t>Execution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9"/>
          <w:szCs w:val="19"/>
          <w:color w:val="auto"/>
        </w:rPr>
        <w:t>any litigation in which the Company (or an affiliate) is then or may become involved, without the payment of a fee or charge, except reimbursement of his direct expenses.</w:t>
      </w:r>
    </w:p>
    <w:p>
      <w:pPr>
        <w:spacing w:after="0" w:line="154"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9"/>
          <w:szCs w:val="19"/>
          <w:b w:val="1"/>
          <w:bCs w:val="1"/>
          <w:color w:val="auto"/>
        </w:rPr>
        <w:t xml:space="preserve">7.6 Headings. </w:t>
      </w:r>
      <w:r>
        <w:rPr>
          <w:rFonts w:ascii="Times New Roman" w:cs="Times New Roman" w:eastAsia="Times New Roman" w:hAnsi="Times New Roman"/>
          <w:sz w:val="19"/>
          <w:szCs w:val="19"/>
          <w:color w:val="auto"/>
        </w:rPr>
        <w:t>Section and other headings contained in this Agreement are for reference purposes only and shall not affect in any way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meaning or interpretation of this Agreement.</w:t>
      </w:r>
    </w:p>
    <w:p>
      <w:pPr>
        <w:spacing w:after="0" w:line="14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b w:val="1"/>
          <w:bCs w:val="1"/>
          <w:color w:val="auto"/>
        </w:rPr>
        <w:t xml:space="preserve">7.7 Entire Agreement. </w:t>
      </w:r>
      <w:r>
        <w:rPr>
          <w:rFonts w:ascii="Times New Roman" w:cs="Times New Roman" w:eastAsia="Times New Roman" w:hAnsi="Times New Roman"/>
          <w:sz w:val="19"/>
          <w:szCs w:val="19"/>
          <w:color w:val="auto"/>
        </w:rPr>
        <w:t>This Agreement constitutes the final and complete understanding and agreement among the parties hereto with respect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the subject matter hereof, and there are no other agreements, understandings, restrictions, representations or warranties among the parties other than those set forth herein.</w:t>
      </w:r>
    </w:p>
    <w:p>
      <w:pPr>
        <w:spacing w:after="0" w:line="17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b w:val="1"/>
          <w:bCs w:val="1"/>
          <w:color w:val="auto"/>
        </w:rPr>
        <w:t xml:space="preserve">7.8 Amendments. </w:t>
      </w:r>
      <w:r>
        <w:rPr>
          <w:rFonts w:ascii="Times New Roman" w:cs="Times New Roman" w:eastAsia="Times New Roman" w:hAnsi="Times New Roman"/>
          <w:sz w:val="19"/>
          <w:szCs w:val="19"/>
          <w:color w:val="auto"/>
        </w:rPr>
        <w:t>This Agreement may be amended or modified at any time in any or all respects, but only by an instrument in writing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executed by the parties hereto.</w:t>
      </w:r>
    </w:p>
    <w:p>
      <w:pPr>
        <w:jc w:val="both"/>
        <w:spacing w:after="0" w:line="266" w:lineRule="auto"/>
        <w:rPr>
          <w:sz w:val="20"/>
          <w:szCs w:val="20"/>
          <w:color w:val="auto"/>
        </w:rPr>
      </w:pPr>
      <w:r>
        <w:rPr>
          <w:rFonts w:ascii="Times New Roman" w:cs="Times New Roman" w:eastAsia="Times New Roman" w:hAnsi="Times New Roman"/>
          <w:sz w:val="19"/>
          <w:szCs w:val="19"/>
          <w:b w:val="1"/>
          <w:bCs w:val="1"/>
          <w:color w:val="auto"/>
        </w:rPr>
        <w:t xml:space="preserve">7.9 Choice of Law. </w:t>
      </w:r>
      <w:r>
        <w:rPr>
          <w:rFonts w:ascii="Times New Roman" w:cs="Times New Roman" w:eastAsia="Times New Roman" w:hAnsi="Times New Roman"/>
          <w:sz w:val="19"/>
          <w:szCs w:val="19"/>
          <w:color w:val="auto"/>
        </w:rPr>
        <w:t>The validity of this Agreement, the construction of its terms, and the determination of the rights and duties of the parties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hereto shall be governed by and construed in accordance with the internal laws of the State of Mississippi applicable to contracts made to be performed wholly within such state, without regard to the choice of law provisions thereof.</w:t>
      </w:r>
    </w:p>
    <w:p>
      <w:pPr>
        <w:spacing w:after="0" w:line="18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b w:val="1"/>
          <w:bCs w:val="1"/>
          <w:color w:val="auto"/>
        </w:rPr>
        <w:t xml:space="preserve">7.10 Notices. </w:t>
      </w:r>
      <w:r>
        <w:rPr>
          <w:rFonts w:ascii="Times New Roman" w:cs="Times New Roman" w:eastAsia="Times New Roman" w:hAnsi="Times New Roman"/>
          <w:sz w:val="19"/>
          <w:szCs w:val="19"/>
          <w:color w:val="auto"/>
        </w:rPr>
        <w:t>All notices and other communications under this Agreement must be in writing and will be deemed to have been duly given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when (a) delivered by hand, (b) sent by a nationally recognized overnight delivery service (receipt requested), or (c) when received by the addressee, if sent in another manner, in each case as follows:</w:t>
      </w:r>
    </w:p>
    <w:p>
      <w:pPr>
        <w:spacing w:after="0" w:line="193" w:lineRule="exact"/>
        <w:rPr>
          <w:sz w:val="20"/>
          <w:szCs w:val="20"/>
          <w:color w:val="auto"/>
        </w:rPr>
      </w:pPr>
    </w:p>
    <w:p>
      <w:pPr>
        <w:spacing w:after="0"/>
        <w:tabs>
          <w:tab w:leader="none" w:pos="2340" w:val="left"/>
        </w:tabs>
        <w:rPr>
          <w:sz w:val="20"/>
          <w:szCs w:val="20"/>
          <w:color w:val="auto"/>
        </w:rPr>
      </w:pPr>
      <w:r>
        <w:rPr>
          <w:rFonts w:ascii="Times New Roman" w:cs="Times New Roman" w:eastAsia="Times New Roman" w:hAnsi="Times New Roman"/>
          <w:sz w:val="19"/>
          <w:szCs w:val="19"/>
          <w:color w:val="auto"/>
        </w:rPr>
        <w:t>If to Executive:</w:t>
      </w:r>
      <w:r>
        <w:rPr>
          <w:sz w:val="20"/>
          <w:szCs w:val="20"/>
          <w:color w:val="auto"/>
        </w:rPr>
        <w:tab/>
      </w:r>
      <w:r>
        <w:rPr>
          <w:rFonts w:ascii="Times New Roman" w:cs="Times New Roman" w:eastAsia="Times New Roman" w:hAnsi="Times New Roman"/>
          <w:sz w:val="19"/>
          <w:szCs w:val="19"/>
          <w:color w:val="auto"/>
        </w:rPr>
        <w:t>If to the Company:</w:t>
      </w:r>
    </w:p>
    <w:p>
      <w:pPr>
        <w:spacing w:after="0" w:line="33" w:lineRule="exact"/>
        <w:rPr>
          <w:sz w:val="20"/>
          <w:szCs w:val="20"/>
          <w:color w:val="auto"/>
        </w:rPr>
      </w:pPr>
    </w:p>
    <w:p>
      <w:pPr>
        <w:ind w:left="200"/>
        <w:spacing w:after="0"/>
        <w:tabs>
          <w:tab w:leader="none" w:pos="2600" w:val="left"/>
        </w:tabs>
        <w:rPr>
          <w:sz w:val="20"/>
          <w:szCs w:val="20"/>
          <w:color w:val="auto"/>
        </w:rPr>
      </w:pPr>
      <w:r>
        <w:rPr>
          <w:rFonts w:ascii="Times New Roman" w:cs="Times New Roman" w:eastAsia="Times New Roman" w:hAnsi="Times New Roman"/>
          <w:sz w:val="19"/>
          <w:szCs w:val="19"/>
          <w:color w:val="auto"/>
        </w:rPr>
        <w:t>Mark W. Jeanfreau</w:t>
      </w:r>
      <w:r>
        <w:rPr>
          <w:sz w:val="20"/>
          <w:szCs w:val="20"/>
          <w:color w:val="auto"/>
        </w:rPr>
        <w:tab/>
      </w:r>
      <w:r>
        <w:rPr>
          <w:rFonts w:ascii="Times New Roman" w:cs="Times New Roman" w:eastAsia="Times New Roman" w:hAnsi="Times New Roman"/>
          <w:sz w:val="19"/>
          <w:szCs w:val="19"/>
          <w:color w:val="auto"/>
        </w:rPr>
        <w:t>Renasant Corporation</w:t>
      </w:r>
    </w:p>
    <w:p>
      <w:pPr>
        <w:spacing w:after="0" w:line="12" w:lineRule="exact"/>
        <w:rPr>
          <w:sz w:val="20"/>
          <w:szCs w:val="20"/>
          <w:color w:val="auto"/>
        </w:rPr>
      </w:pPr>
    </w:p>
    <w:p>
      <w:pPr>
        <w:ind w:left="200"/>
        <w:spacing w:after="0"/>
        <w:tabs>
          <w:tab w:leader="none" w:pos="2800" w:val="left"/>
        </w:tabs>
        <w:rPr>
          <w:sz w:val="20"/>
          <w:szCs w:val="20"/>
          <w:color w:val="auto"/>
        </w:rPr>
      </w:pPr>
      <w:r>
        <w:rPr>
          <w:rFonts w:ascii="Times New Roman" w:cs="Times New Roman" w:eastAsia="Times New Roman" w:hAnsi="Times New Roman"/>
          <w:sz w:val="19"/>
          <w:szCs w:val="19"/>
          <w:color w:val="auto"/>
        </w:rPr>
        <w:t>Most Recent Address</w:t>
      </w:r>
      <w:r>
        <w:rPr>
          <w:sz w:val="20"/>
          <w:szCs w:val="20"/>
          <w:color w:val="auto"/>
        </w:rPr>
        <w:tab/>
      </w:r>
      <w:r>
        <w:rPr>
          <w:rFonts w:ascii="Times New Roman" w:cs="Times New Roman" w:eastAsia="Times New Roman" w:hAnsi="Times New Roman"/>
          <w:sz w:val="19"/>
          <w:szCs w:val="19"/>
          <w:color w:val="auto"/>
        </w:rPr>
        <w:t>209 Troy Street</w:t>
      </w:r>
    </w:p>
    <w:p>
      <w:pPr>
        <w:spacing w:after="0" w:line="11" w:lineRule="exact"/>
        <w:rPr>
          <w:sz w:val="20"/>
          <w:szCs w:val="20"/>
          <w:color w:val="auto"/>
        </w:rPr>
      </w:pPr>
    </w:p>
    <w:p>
      <w:pPr>
        <w:ind w:left="200"/>
        <w:spacing w:after="0"/>
        <w:tabs>
          <w:tab w:leader="none" w:pos="3000" w:val="left"/>
        </w:tabs>
        <w:rPr>
          <w:sz w:val="20"/>
          <w:szCs w:val="20"/>
          <w:color w:val="auto"/>
        </w:rPr>
      </w:pPr>
      <w:r>
        <w:rPr>
          <w:rFonts w:ascii="Times New Roman" w:cs="Times New Roman" w:eastAsia="Times New Roman" w:hAnsi="Times New Roman"/>
          <w:sz w:val="19"/>
          <w:szCs w:val="19"/>
          <w:color w:val="auto"/>
        </w:rPr>
        <w:t>on File With the Company</w:t>
      </w:r>
      <w:r>
        <w:rPr>
          <w:sz w:val="20"/>
          <w:szCs w:val="20"/>
          <w:color w:val="auto"/>
        </w:rPr>
        <w:tab/>
      </w:r>
      <w:r>
        <w:rPr>
          <w:rFonts w:ascii="Times New Roman" w:cs="Times New Roman" w:eastAsia="Times New Roman" w:hAnsi="Times New Roman"/>
          <w:sz w:val="19"/>
          <w:szCs w:val="19"/>
          <w:color w:val="auto"/>
        </w:rPr>
        <w:t>Tupelo, MS 38802</w:t>
      </w:r>
    </w:p>
    <w:p>
      <w:pPr>
        <w:spacing w:after="0" w:line="1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9"/>
          <w:szCs w:val="19"/>
          <w:color w:val="auto"/>
        </w:rPr>
        <w:t>Attn: Chief Executive Officer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or to such other addresses as a party may designate by notice to the other party.</w:t>
      </w:r>
    </w:p>
    <w:p>
      <w:pPr>
        <w:spacing w:after="0" w:line="238"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9"/>
          <w:szCs w:val="19"/>
          <w:b w:val="1"/>
          <w:bCs w:val="1"/>
          <w:color w:val="auto"/>
        </w:rPr>
        <w:t xml:space="preserve">7.11 Successors; Assignment. </w:t>
      </w:r>
      <w:r>
        <w:rPr>
          <w:rFonts w:ascii="Times New Roman" w:cs="Times New Roman" w:eastAsia="Times New Roman" w:hAnsi="Times New Roman"/>
          <w:sz w:val="19"/>
          <w:szCs w:val="19"/>
          <w:color w:val="auto"/>
        </w:rPr>
        <w:t>This Agreement is personal to Executive and shall not be assigned by him without the prior written consent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Company.</w:t>
      </w:r>
    </w:p>
    <w:p>
      <w:pPr>
        <w:spacing w:after="0" w:line="16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This Agreement will inure to the benefit of and be binding upon the Company, its affiliates, successors and assigns, including, without limitation, any person, partnership, company, corporation or other entity that may acquire substantially all of the Company’s assets or business or with or into which the Company may be liquidated, consolidated, merged or otherwise combined. This Agreement will inure to the benefit of and be binding upon Executive, his heirs, estate, legatees and legal representatives. Any payment due to Executive hereunder shall be paid to his surviving spouse or estate after his death.</w:t>
      </w:r>
    </w:p>
    <w:p>
      <w:pPr>
        <w:spacing w:after="0" w:line="19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b w:val="1"/>
          <w:bCs w:val="1"/>
          <w:color w:val="auto"/>
        </w:rPr>
        <w:t xml:space="preserve">7.12 Severability. </w:t>
      </w:r>
      <w:r>
        <w:rPr>
          <w:rFonts w:ascii="Times New Roman" w:cs="Times New Roman" w:eastAsia="Times New Roman" w:hAnsi="Times New Roman"/>
          <w:sz w:val="19"/>
          <w:szCs w:val="19"/>
          <w:color w:val="auto"/>
        </w:rPr>
        <w:t>Each provision of this Agreement is intended to be severable. In the event that any one or more of the provisions contained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 this Agreement shall for any reason be held to be invalid, illegal or unenforceable, the same shall not affect the validity or enforceability of any other provision of this Agreement, but this Agreement shall be construed as if such invalid, illegal or unenforceable provision was not contained herein. Notwithstanding the foregoing, however, no provision shall be severed if it is clearly apparent under the circumstances that the parties would not have entered into this Agreement without such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w:t>
      </w:r>
    </w:p>
    <w:p>
      <w:pPr>
        <w:sectPr>
          <w:pgSz w:w="11900" w:h="16838" w:orient="portrait"/>
          <w:cols w:equalWidth="0" w:num="1">
            <w:col w:w="11240"/>
          </w:cols>
          <w:pgMar w:left="320" w:top="126" w:right="33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6"/>
          <w:szCs w:val="16"/>
          <w:color w:val="auto"/>
        </w:rPr>
        <w:t>Execution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9"/>
          <w:szCs w:val="19"/>
          <w:b w:val="1"/>
          <w:bCs w:val="1"/>
          <w:color w:val="auto"/>
        </w:rPr>
        <w:t xml:space="preserve">7.13 Withholding. </w:t>
      </w:r>
      <w:r>
        <w:rPr>
          <w:rFonts w:ascii="Times New Roman" w:cs="Times New Roman" w:eastAsia="Times New Roman" w:hAnsi="Times New Roman"/>
          <w:sz w:val="19"/>
          <w:szCs w:val="19"/>
          <w:color w:val="auto"/>
        </w:rPr>
        <w:t>The Company or an affiliate may withhold from any payment hereunder any federal, state or local taxes required to be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withheld.</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b w:val="1"/>
          <w:bCs w:val="1"/>
          <w:color w:val="auto"/>
        </w:rPr>
        <w:t xml:space="preserve">7.14 Survival. </w:t>
      </w:r>
      <w:r>
        <w:rPr>
          <w:rFonts w:ascii="Times New Roman" w:cs="Times New Roman" w:eastAsia="Times New Roman" w:hAnsi="Times New Roman"/>
          <w:sz w:val="19"/>
          <w:szCs w:val="19"/>
          <w:color w:val="auto"/>
        </w:rPr>
        <w:t>Notwithstanding any provision of this Agreement to the contrary, the obligation of the Company to make any payment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provide any benefit as of Executive’s Separation Date under Section 4 or 5 hereof shall survive the termination or expiration of this Agreement. The covenants imposed on Executive under Section 6 hereof shall remain operative and in full force and effect in accordance with their terms, regardless of the expiration or termination of this Agreement or Executive’s separation from employment hereunder. The parties further agree that the provisions of this Section 7 shall survive the termination or expiration of this Agreement for any reason.</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b w:val="1"/>
          <w:bCs w:val="1"/>
          <w:color w:val="auto"/>
        </w:rPr>
        <w:t xml:space="preserve">7.15 Waiver. </w:t>
      </w:r>
      <w:r>
        <w:rPr>
          <w:rFonts w:ascii="Times New Roman" w:cs="Times New Roman" w:eastAsia="Times New Roman" w:hAnsi="Times New Roman"/>
          <w:sz w:val="19"/>
          <w:szCs w:val="19"/>
          <w:color w:val="auto"/>
        </w:rPr>
        <w:t>The failure of either party to insist in any one or more instances upon performance of any terms or conditions of this Agreement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will not be construed as a waiver of future performance of any such term, covenant, or condition and the obligations of either party with respect to such term, covenant or condition will continue in full force and effect.</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b w:val="1"/>
          <w:bCs w:val="1"/>
          <w:color w:val="auto"/>
        </w:rPr>
        <w:t xml:space="preserve">7.16 Code Section 409A. </w:t>
      </w:r>
      <w:r>
        <w:rPr>
          <w:rFonts w:ascii="Times New Roman" w:cs="Times New Roman" w:eastAsia="Times New Roman" w:hAnsi="Times New Roman"/>
          <w:sz w:val="19"/>
          <w:szCs w:val="19"/>
          <w:color w:val="auto"/>
        </w:rPr>
        <w:t>To the extent applicable, the parties intend that this Agreement shall be interpreted and construed in a manner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consistent with the applicable provisions of Code Section 409A, including any regulations or other guidance promulgated thereunder. For purposes thereof: (a) each payment under this Agreement shall be treated as a separate payment; (b) the exclusions for short-term deferrals and payments on account of involuntary termination of employment shall be applied to the fullest extent applicable; (c) payments to be made upon a termination of employment or on account of Executive’s Separation Date that are deemed to constitute deferred compensation within the meaning of Code Section 409A shall be made upon Executive’s “separation from service” as determined thereunder; (d) any reference herein to the termination of Executive’s employment or to Executive’s termination date or words of similar import shall mean and be deemed to refer to the date of his “separation from service” within the meaning of Code Section 409A; (e) if Executive is a “specified employee” within the meaning of Code Section 409A, payments that are deemed to constitute deferred compensation within the meaning of Code Section 409A and that are payable on account of Executive’s separation from service, shall be delayed for six months as required under Code Section 409A, and thereafter shall be made when first permitted, without liability for interest or loss of investment opportunity thereon; (f) any amount payable in one of two calendar years shall be payable in the second such year; and (g) all reimbursements and in-kind payments hereunder that constitute deferred compensation within the meaning of Code Section 409A shall be made or provide in accordance with the requirements of such section.</w:t>
      </w:r>
    </w:p>
    <w:p>
      <w:pPr>
        <w:spacing w:after="0" w:line="21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b w:val="1"/>
          <w:bCs w:val="1"/>
          <w:color w:val="auto"/>
        </w:rPr>
        <w:t xml:space="preserve">7.17 Construction. </w:t>
      </w:r>
      <w:r>
        <w:rPr>
          <w:rFonts w:ascii="Times New Roman" w:cs="Times New Roman" w:eastAsia="Times New Roman" w:hAnsi="Times New Roman"/>
          <w:sz w:val="19"/>
          <w:szCs w:val="19"/>
          <w:color w:val="auto"/>
        </w:rPr>
        <w:t>The language in all parts of this Agreement shall be construed as a whole, according to fair meaning, and not strictly for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against any party. In drafting this Agreement, Executive has been afforded the opportunity to be represented by counsel of Executive’s choosing, and the terms of this Agreement have been fully negotiated by the parties hereto. The parties agree that, in the event of any ambiguity, this Agreement should not be construed against the Company solely as a result of being drafted by counsel for the Company.</w:t>
      </w:r>
    </w:p>
    <w:p>
      <w:pPr>
        <w:spacing w:after="0" w:line="19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b w:val="1"/>
          <w:bCs w:val="1"/>
          <w:color w:val="auto"/>
        </w:rPr>
        <w:t xml:space="preserve">7.18 Execution. </w:t>
      </w:r>
      <w:r>
        <w:rPr>
          <w:rFonts w:ascii="Times New Roman" w:cs="Times New Roman" w:eastAsia="Times New Roman" w:hAnsi="Times New Roman"/>
          <w:sz w:val="19"/>
          <w:szCs w:val="19"/>
          <w:color w:val="auto"/>
        </w:rPr>
        <w:t>This Agreement may be executed in any number of separate counterparts, each of which when so executed shall be deemed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be an original, and all of which taken together shall constitute one and the same agreement. Facsimile or “PDF” transmissions of any executed original document and/or retransmission of any executed facsimile or “PDF” transmission shall be deemed to be the same as the delivery of an executed original.</w:t>
      </w:r>
    </w:p>
    <w:p>
      <w:pPr>
        <w:spacing w:after="0" w:line="178"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9"/>
          <w:szCs w:val="19"/>
          <w:b w:val="1"/>
          <w:bCs w:val="1"/>
          <w:color w:val="auto"/>
        </w:rPr>
        <w:t xml:space="preserve">THIS EXECUTIVE EMPLOYMENT AGREEMENT </w:t>
      </w:r>
      <w:r>
        <w:rPr>
          <w:rFonts w:ascii="Times New Roman" w:cs="Times New Roman" w:eastAsia="Times New Roman" w:hAnsi="Times New Roman"/>
          <w:sz w:val="19"/>
          <w:szCs w:val="19"/>
          <w:color w:val="auto"/>
        </w:rPr>
        <w:t>has been executed by the parties hereto as of the dates set forth below, to be effective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as provided herein.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p>
      <w:pPr>
        <w:sectPr>
          <w:pgSz w:w="11900" w:h="16838" w:orient="portrait"/>
          <w:cols w:equalWidth="0" w:num="1">
            <w:col w:w="11240"/>
          </w:cols>
          <w:pgMar w:left="320" w:top="126" w:right="3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6"/>
          <w:szCs w:val="16"/>
          <w:color w:val="auto"/>
        </w:rPr>
        <w:t>Execution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62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RENASANT CORPORATION</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320" w:type="dxa"/>
            <w:vAlign w:val="bottom"/>
            <w:gridSpan w:val="2"/>
          </w:tcPr>
          <w:p>
            <w:pPr>
              <w:jc w:val="center"/>
              <w:ind w:right="920"/>
              <w:spacing w:after="0"/>
              <w:rPr>
                <w:sz w:val="20"/>
                <w:szCs w:val="20"/>
                <w:color w:val="auto"/>
              </w:rPr>
            </w:pPr>
            <w:r>
              <w:rPr>
                <w:rFonts w:ascii="Times New Roman" w:cs="Times New Roman" w:eastAsia="Times New Roman" w:hAnsi="Times New Roman"/>
                <w:sz w:val="19"/>
                <w:szCs w:val="19"/>
                <w:b w:val="1"/>
                <w:bCs w:val="1"/>
                <w:color w:val="auto"/>
              </w:rPr>
              <w:t>EXECUTIVE</w:t>
            </w:r>
          </w:p>
        </w:tc>
        <w:tc>
          <w:tcPr>
            <w:tcW w:w="20" w:type="dxa"/>
            <w:vAlign w:val="bottom"/>
          </w:tcPr>
          <w:p>
            <w:pPr>
              <w:spacing w:after="0"/>
              <w:rPr>
                <w:sz w:val="22"/>
                <w:szCs w:val="22"/>
                <w:color w:val="auto"/>
              </w:rPr>
            </w:pPr>
          </w:p>
        </w:tc>
      </w:tr>
      <w:tr>
        <w:trPr>
          <w:trHeight w:val="429"/>
        </w:trPr>
        <w:tc>
          <w:tcPr>
            <w:tcW w:w="262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By: /s/ E. Robinson McGraw</w:t>
            </w:r>
          </w:p>
        </w:tc>
        <w:tc>
          <w:tcPr>
            <w:tcW w:w="200" w:type="dxa"/>
            <w:vAlign w:val="bottom"/>
          </w:tcPr>
          <w:p>
            <w:pPr>
              <w:spacing w:after="0"/>
              <w:rPr>
                <w:sz w:val="24"/>
                <w:szCs w:val="24"/>
                <w:color w:val="auto"/>
              </w:rPr>
            </w:pPr>
          </w:p>
        </w:tc>
        <w:tc>
          <w:tcPr>
            <w:tcW w:w="252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auto"/>
              </w:rPr>
              <w:t>/s/ Mark W. Jeanfreau</w:t>
            </w:r>
          </w:p>
        </w:tc>
        <w:tc>
          <w:tcPr>
            <w:tcW w:w="2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4"/>
        </w:trPr>
        <w:tc>
          <w:tcPr>
            <w:tcW w:w="262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Its: Executive Chairman</w:t>
            </w:r>
          </w:p>
        </w:tc>
        <w:tc>
          <w:tcPr>
            <w:tcW w:w="2720" w:type="dxa"/>
            <w:vAlign w:val="bottom"/>
            <w:gridSpan w:val="4"/>
          </w:tcPr>
          <w:p>
            <w:pPr>
              <w:ind w:left="40"/>
              <w:spacing w:after="0"/>
              <w:rPr>
                <w:sz w:val="20"/>
                <w:szCs w:val="20"/>
                <w:color w:val="auto"/>
              </w:rPr>
            </w:pPr>
            <w:r>
              <w:rPr>
                <w:rFonts w:ascii="Times New Roman" w:cs="Times New Roman" w:eastAsia="Times New Roman" w:hAnsi="Times New Roman"/>
                <w:sz w:val="19"/>
                <w:szCs w:val="19"/>
                <w:color w:val="auto"/>
              </w:rPr>
              <w:t>Mark W. Jeanfreau</w:t>
            </w:r>
          </w:p>
        </w:tc>
        <w:tc>
          <w:tcPr>
            <w:tcW w:w="20" w:type="dxa"/>
            <w:vAlign w:val="bottom"/>
          </w:tcPr>
          <w:p>
            <w:pPr>
              <w:spacing w:after="0"/>
              <w:rPr>
                <w:sz w:val="20"/>
                <w:szCs w:val="20"/>
                <w:color w:val="auto"/>
              </w:rPr>
            </w:pPr>
          </w:p>
        </w:tc>
      </w:tr>
      <w:tr>
        <w:trPr>
          <w:trHeight w:val="207"/>
        </w:trPr>
        <w:tc>
          <w:tcPr>
            <w:tcW w:w="2620" w:type="dxa"/>
            <w:vAlign w:val="bottom"/>
            <w:gridSpan w:val="3"/>
          </w:tcPr>
          <w:p>
            <w:pPr>
              <w:spacing w:after="0" w:line="207" w:lineRule="exact"/>
              <w:rPr>
                <w:sz w:val="20"/>
                <w:szCs w:val="20"/>
                <w:color w:val="auto"/>
              </w:rPr>
            </w:pPr>
            <w:r>
              <w:rPr>
                <w:rFonts w:ascii="Times New Roman" w:cs="Times New Roman" w:eastAsia="Times New Roman" w:hAnsi="Times New Roman"/>
                <w:sz w:val="19"/>
                <w:szCs w:val="19"/>
                <w:color w:val="auto"/>
              </w:rPr>
              <w:t>Date: January 18, 2018</w:t>
            </w:r>
          </w:p>
        </w:tc>
        <w:tc>
          <w:tcPr>
            <w:tcW w:w="2720" w:type="dxa"/>
            <w:vAlign w:val="bottom"/>
            <w:gridSpan w:val="4"/>
          </w:tcPr>
          <w:p>
            <w:pPr>
              <w:jc w:val="center"/>
              <w:ind w:right="560"/>
              <w:spacing w:after="0" w:line="207" w:lineRule="exact"/>
              <w:rPr>
                <w:sz w:val="20"/>
                <w:szCs w:val="20"/>
                <w:color w:val="auto"/>
              </w:rPr>
            </w:pPr>
            <w:r>
              <w:rPr>
                <w:rFonts w:ascii="Times New Roman" w:cs="Times New Roman" w:eastAsia="Times New Roman" w:hAnsi="Times New Roman"/>
                <w:sz w:val="19"/>
                <w:szCs w:val="19"/>
                <w:color w:val="auto"/>
              </w:rPr>
              <w:t>Date: January 18, 2018</w:t>
            </w:r>
          </w:p>
        </w:tc>
        <w:tc>
          <w:tcPr>
            <w:tcW w:w="2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Exhibit A – Form of Waiver and Release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PD.22460404.2</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w:t>
      </w:r>
    </w:p>
    <w:p>
      <w:pPr>
        <w:sectPr>
          <w:pgSz w:w="11900" w:h="16838" w:orient="portrait"/>
          <w:cols w:equalWidth="0" w:num="1">
            <w:col w:w="11240"/>
          </w:cols>
          <w:pgMar w:left="320" w:top="126" w:right="3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9"/>
          <w:szCs w:val="19"/>
          <w:b w:val="1"/>
          <w:bCs w:val="1"/>
          <w:color w:val="auto"/>
        </w:rPr>
        <w:t>EXHIBIT A</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[FORM OF] WAIVER AND RELEASE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Notice Date: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Separation Date:</w:t>
      </w:r>
    </w:p>
    <w:p>
      <w:pPr>
        <w:spacing w:after="0" w:line="22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b w:val="1"/>
          <w:bCs w:val="1"/>
          <w:color w:val="auto"/>
        </w:rPr>
        <w:t xml:space="preserve">THIS WAIVER AND RELEASE </w:t>
      </w:r>
      <w:r>
        <w:rPr>
          <w:rFonts w:ascii="Times New Roman" w:cs="Times New Roman" w:eastAsia="Times New Roman" w:hAnsi="Times New Roman"/>
          <w:sz w:val="19"/>
          <w:szCs w:val="19"/>
          <w:color w:val="auto"/>
        </w:rPr>
        <w:t>(the “Release”) is made in consideration and as a condition of the receipt of the separation payments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described in that certain Employment Agreement entered into by and between Renasant Corporation (with each of its subsidiaries, affiliates, divisions and operating units, collectively, the “Company”), and Mark W. Jeanfreau (“Executive”), first effective as of January 1, 2016 (the “Employment Agreement”), the sufficiency of which is acknowledged (the “Consideration”).</w:t>
      </w:r>
    </w:p>
    <w:p>
      <w:pPr>
        <w:spacing w:after="0" w:line="196" w:lineRule="exact"/>
        <w:rPr>
          <w:sz w:val="20"/>
          <w:szCs w:val="20"/>
          <w:color w:val="auto"/>
        </w:rPr>
      </w:pPr>
    </w:p>
    <w:p>
      <w:pPr>
        <w:ind w:left="540" w:hanging="342"/>
        <w:spacing w:after="0"/>
        <w:tabs>
          <w:tab w:leader="none" w:pos="540" w:val="left"/>
        </w:tabs>
        <w:numPr>
          <w:ilvl w:val="0"/>
          <w:numId w:val="8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Executive understands that signing this Release is an important legal act; in connection with such execution, Executive:</w:t>
      </w:r>
    </w:p>
    <w:p>
      <w:pPr>
        <w:spacing w:after="0" w:line="242" w:lineRule="exact"/>
        <w:rPr>
          <w:rFonts w:ascii="Times New Roman" w:cs="Times New Roman" w:eastAsia="Times New Roman" w:hAnsi="Times New Roman"/>
          <w:sz w:val="19"/>
          <w:szCs w:val="19"/>
          <w:b w:val="1"/>
          <w:bCs w:val="1"/>
          <w:color w:val="auto"/>
        </w:rPr>
      </w:pPr>
    </w:p>
    <w:p>
      <w:pPr>
        <w:ind w:left="960" w:hanging="323"/>
        <w:spacing w:after="0"/>
        <w:tabs>
          <w:tab w:leader="none" w:pos="960" w:val="left"/>
        </w:tabs>
        <w:numPr>
          <w:ilvl w:val="1"/>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Acknowledges that he has been advised to consult an attorney before signing this Release and that Executive has done so.</w:t>
      </w:r>
    </w:p>
    <w:p>
      <w:pPr>
        <w:spacing w:after="0" w:line="255" w:lineRule="exact"/>
        <w:rPr>
          <w:rFonts w:ascii="Times New Roman" w:cs="Times New Roman" w:eastAsia="Times New Roman" w:hAnsi="Times New Roman"/>
          <w:sz w:val="19"/>
          <w:szCs w:val="19"/>
          <w:color w:val="auto"/>
        </w:rPr>
      </w:pPr>
    </w:p>
    <w:p>
      <w:pPr>
        <w:ind w:left="1260" w:hanging="623"/>
        <w:spacing w:after="0" w:line="267" w:lineRule="auto"/>
        <w:tabs>
          <w:tab w:leader="none" w:pos="981" w:val="left"/>
        </w:tabs>
        <w:numPr>
          <w:ilvl w:val="1"/>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he has 21 calendar days after the Notice Date (above) to consider whether to sign this Release, without alteration, and return it to the Company in accordance with the notice provisions set forth in the Employment Agreement, and that if he executes and delivers this Release before the expiration of the 21-day period, Executive will be deemed to have waived the balance of the period. Executive agrees that any negotiation or modification of this release shall not extend such 21-day period.</w:t>
      </w:r>
    </w:p>
    <w:p>
      <w:pPr>
        <w:spacing w:after="0" w:line="185" w:lineRule="exact"/>
        <w:rPr>
          <w:rFonts w:ascii="Times New Roman" w:cs="Times New Roman" w:eastAsia="Times New Roman" w:hAnsi="Times New Roman"/>
          <w:sz w:val="19"/>
          <w:szCs w:val="19"/>
          <w:color w:val="auto"/>
        </w:rPr>
      </w:pPr>
    </w:p>
    <w:p>
      <w:pPr>
        <w:ind w:left="1260" w:hanging="623"/>
        <w:spacing w:after="0" w:line="296" w:lineRule="auto"/>
        <w:tabs>
          <w:tab w:leader="none" w:pos="976" w:val="left"/>
        </w:tabs>
        <w:numPr>
          <w:ilvl w:val="1"/>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Acknowledges that he has been given an opportunity to review this Release, that he fully understand its provisions, and that he has voluntarily entered into this Release.</w:t>
      </w:r>
    </w:p>
    <w:p>
      <w:pPr>
        <w:spacing w:after="0" w:line="172" w:lineRule="exact"/>
        <w:rPr>
          <w:sz w:val="20"/>
          <w:szCs w:val="20"/>
          <w:color w:val="auto"/>
        </w:rPr>
      </w:pPr>
    </w:p>
    <w:p>
      <w:pPr>
        <w:ind w:left="1260" w:hanging="623"/>
        <w:spacing w:after="0" w:line="262" w:lineRule="auto"/>
        <w:tabs>
          <w:tab w:leader="none" w:pos="974" w:val="left"/>
        </w:tabs>
        <w:numPr>
          <w:ilvl w:val="1"/>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Understands that he may revoke this Release by providing written notice to the Company by hand delivery or by U.S. mail, postage prepaid in accordance with the notice provisions of Executive’s Employment Agreement, during the seven-day period following its execution; thereafter, this Release shall be irrevocable. Executive acknowledges that if he revokes this Release, the Company shall have no obligation to provide the Consideration, and that the Company shall have no obligation to pay the Consideration until this Release shall become irrevocable in accordance with its terms.</w:t>
      </w:r>
    </w:p>
    <w:p>
      <w:pPr>
        <w:spacing w:after="0" w:line="189" w:lineRule="exact"/>
        <w:rPr>
          <w:rFonts w:ascii="Times New Roman" w:cs="Times New Roman" w:eastAsia="Times New Roman" w:hAnsi="Times New Roman"/>
          <w:sz w:val="19"/>
          <w:szCs w:val="19"/>
          <w:color w:val="auto"/>
        </w:rPr>
      </w:pPr>
    </w:p>
    <w:p>
      <w:pPr>
        <w:ind w:left="1260" w:hanging="623"/>
        <w:spacing w:after="0" w:line="296" w:lineRule="auto"/>
        <w:tabs>
          <w:tab w:leader="none" w:pos="1053" w:val="left"/>
        </w:tabs>
        <w:numPr>
          <w:ilvl w:val="1"/>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Acknowledges that payment of the Consideration is voluntary on the part of the Company and are not required by any legal obligation of the Company, other than under the terms of the Employment Agreement and this Release.</w:t>
      </w:r>
    </w:p>
    <w:p>
      <w:pPr>
        <w:spacing w:after="0" w:line="171" w:lineRule="exact"/>
        <w:rPr>
          <w:rFonts w:ascii="Times New Roman" w:cs="Times New Roman" w:eastAsia="Times New Roman" w:hAnsi="Times New Roman"/>
          <w:sz w:val="19"/>
          <w:szCs w:val="19"/>
          <w:color w:val="auto"/>
        </w:rPr>
      </w:pPr>
    </w:p>
    <w:p>
      <w:pPr>
        <w:ind w:left="1260" w:hanging="623"/>
        <w:spacing w:after="0" w:line="282" w:lineRule="auto"/>
        <w:tabs>
          <w:tab w:leader="none" w:pos="963" w:val="left"/>
        </w:tabs>
        <w:numPr>
          <w:ilvl w:val="1"/>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Agrees that if this Release is not executed and delivered to the Company before the end of the 21-day period described in subsection b hereof, the Company’s obligation in respect of the payment of the Consideration shall be deemed void and of no effect.</w:t>
      </w:r>
    </w:p>
    <w:p>
      <w:pPr>
        <w:spacing w:after="0" w:line="183" w:lineRule="exact"/>
        <w:rPr>
          <w:rFonts w:ascii="Times New Roman" w:cs="Times New Roman" w:eastAsia="Times New Roman" w:hAnsi="Times New Roman"/>
          <w:sz w:val="19"/>
          <w:szCs w:val="19"/>
          <w:color w:val="auto"/>
        </w:rPr>
      </w:pPr>
    </w:p>
    <w:p>
      <w:pPr>
        <w:ind w:left="960" w:hanging="323"/>
        <w:spacing w:after="0"/>
        <w:tabs>
          <w:tab w:leader="none" w:pos="960" w:val="left"/>
        </w:tabs>
        <w:numPr>
          <w:ilvl w:val="1"/>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Agrees that this Release shall not be executed and delivered to the Company before Executive’s Separation Date (above).</w:t>
      </w:r>
    </w:p>
    <w:p>
      <w:pPr>
        <w:spacing w:after="0" w:line="242" w:lineRule="exact"/>
        <w:rPr>
          <w:rFonts w:ascii="Times New Roman" w:cs="Times New Roman" w:eastAsia="Times New Roman" w:hAnsi="Times New Roman"/>
          <w:sz w:val="19"/>
          <w:szCs w:val="19"/>
          <w:color w:val="auto"/>
        </w:rPr>
      </w:pPr>
    </w:p>
    <w:p>
      <w:pPr>
        <w:jc w:val="both"/>
        <w:ind w:firstLine="251"/>
        <w:spacing w:after="0" w:line="278" w:lineRule="auto"/>
        <w:tabs>
          <w:tab w:leader="none" w:pos="649" w:val="left"/>
        </w:tabs>
        <w:numPr>
          <w:ilvl w:val="0"/>
          <w:numId w:val="8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Executive, on his behalf and on behalf of his heirs, successors and assigns (collectively, the “Releasing Parties”), hereby releases and discharges the Company, including its past, present, or future parents, subsidiaries and affiliates, regardless of the form of entity in which maintained,</w:t>
      </w:r>
    </w:p>
    <w:p>
      <w:pPr>
        <w:sectPr>
          <w:pgSz w:w="11900" w:h="16838" w:orient="portrait"/>
          <w:cols w:equalWidth="0" w:num="1">
            <w:col w:w="11240"/>
          </w:cols>
          <w:pgMar w:left="320" w:top="1376" w:right="339" w:bottom="1440" w:gutter="0" w:footer="0" w:header="0"/>
        </w:sectPr>
      </w:pPr>
    </w:p>
    <w:bookmarkStart w:id="186" w:name="page187"/>
    <w:bookmarkEnd w:id="186"/>
    <w:p>
      <w:pPr>
        <w:jc w:val="both"/>
        <w:spacing w:after="0" w:line="261" w:lineRule="auto"/>
        <w:rPr>
          <w:sz w:val="20"/>
          <w:szCs w:val="20"/>
          <w:color w:val="auto"/>
        </w:rPr>
      </w:pPr>
      <w:r>
        <w:rPr>
          <w:rFonts w:ascii="Times New Roman" w:cs="Times New Roman" w:eastAsia="Times New Roman" w:hAnsi="Times New Roman"/>
          <w:sz w:val="19"/>
          <w:szCs w:val="19"/>
          <w:color w:val="auto"/>
        </w:rPr>
        <w:t>shareholders, officers, directors, managers, members, owners, agents, trustees, administrators, insurers, attorneys, employees, and employee benefit plans or funds and their fiduciaries, including any predecessors, successors and/or assigns thereto (collectively, the “Parties Released”), from any claims, demands, causes of action and liabilities of any kind (including attorneys’ fees and costs), whether based in law or equity, whether contractual, common-law, statutory, federal, state, local, or otherwise, whether known or unknown, and whether arising by reason of any act, omission, transaction or occurrence, which the Releasing Parties had, may now have, or hereafter may have, against the Parties Released up to and including the date of the execution of this Release, other than the claims retained as provided in Section 3 below. Without limiting the generality of the foregoing, the Releasing Parties hereby specifically release and discharge the Parties Released from:</w:t>
      </w:r>
    </w:p>
    <w:p>
      <w:pPr>
        <w:spacing w:after="0" w:line="192" w:lineRule="exact"/>
        <w:rPr>
          <w:sz w:val="20"/>
          <w:szCs w:val="20"/>
          <w:color w:val="auto"/>
        </w:rPr>
      </w:pPr>
    </w:p>
    <w:p>
      <w:pPr>
        <w:ind w:left="1260" w:hanging="623"/>
        <w:spacing w:after="0" w:line="265" w:lineRule="auto"/>
        <w:tabs>
          <w:tab w:leader="none" w:pos="1037"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claims relating to Executive’s employment with Parties Released, including any consideration payable with respect thereto or the termination thereof, the terms and conditions of such employment, employee benefits related to such employment, and Executive’s separation from such employment, and/or any of the events relating, directly or indirectly, to or surrounding such separation, including, but not limited to, claims for discriminatory, wrongful or retaliatory discharge, breach of contract, tort, defamation, slander, and emotional distress, but excluding those claims retained as provided in Section 3 below; and</w:t>
      </w:r>
    </w:p>
    <w:p>
      <w:pPr>
        <w:spacing w:after="0" w:line="188" w:lineRule="exact"/>
        <w:rPr>
          <w:rFonts w:ascii="Times New Roman" w:cs="Times New Roman" w:eastAsia="Times New Roman" w:hAnsi="Times New Roman"/>
          <w:sz w:val="19"/>
          <w:szCs w:val="19"/>
          <w:color w:val="auto"/>
        </w:rPr>
      </w:pPr>
    </w:p>
    <w:p>
      <w:pPr>
        <w:ind w:left="1260" w:hanging="623"/>
        <w:spacing w:after="0" w:line="265" w:lineRule="auto"/>
        <w:tabs>
          <w:tab w:leader="none" w:pos="1128"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claims of discrimination, harassment, whistle blowing or retaliation in connection with Executive’s employment, whether arising under federal, state or local law, including, without limitation, all claims arising under Title VII of the Civil Rights Act of 1964, as amended, the Americans with Disabilities Act, the Civil Rights Act of 1991, the Reconstruction Era Civil Rights Act of 1866, 42 USC §§ 1981-86, as amended, the Rehabilitation Act of 1973, the Equal Pay Act, the Family and Medical Leave Act, the Employee Retirement Income Security Act of 1974, as amended, and the Sarbanes-Oxley Act of 2002.</w:t>
      </w:r>
    </w:p>
    <w:p>
      <w:pPr>
        <w:spacing w:after="0" w:line="189" w:lineRule="exact"/>
        <w:rPr>
          <w:sz w:val="20"/>
          <w:szCs w:val="20"/>
          <w:color w:val="auto"/>
        </w:rPr>
      </w:pPr>
    </w:p>
    <w:p>
      <w:pPr>
        <w:jc w:val="both"/>
        <w:ind w:firstLine="637"/>
        <w:spacing w:after="0" w:line="261" w:lineRule="auto"/>
        <w:tabs>
          <w:tab w:leader="none" w:pos="982" w:val="left"/>
        </w:tabs>
        <w:numPr>
          <w:ilvl w:val="1"/>
          <w:numId w:val="9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Notwithstanding the generality of Section 2 hereof, Executive does not waive or release: (a) any right or claim arising after the date on which Executive executes this Release; (b) ordinary claims for benefits accrued and vested or due as of his Separation Date under any benefit plan subject to ERISA or other benefit plan or arrangement sponsored and maintained by the Company; (c) any compensation or benefit due to him under the Employment Agreement; (d) any claim for compensation due under applicable law that cannot be waived as a matter of policy; and (e) any right to indemnification that Executive may possess to the full extent provided under the Company’s governing documents or any separate indemnification or insurance arrangement of the Company.</w:t>
      </w:r>
    </w:p>
    <w:p>
      <w:pPr>
        <w:spacing w:after="0" w:line="206" w:lineRule="exact"/>
        <w:rPr>
          <w:rFonts w:ascii="Times New Roman" w:cs="Times New Roman" w:eastAsia="Times New Roman" w:hAnsi="Times New Roman"/>
          <w:sz w:val="19"/>
          <w:szCs w:val="19"/>
          <w:b w:val="1"/>
          <w:bCs w:val="1"/>
          <w:color w:val="auto"/>
        </w:rPr>
      </w:pPr>
    </w:p>
    <w:p>
      <w:pPr>
        <w:ind w:firstLine="211"/>
        <w:spacing w:after="0" w:line="282" w:lineRule="auto"/>
        <w:tabs>
          <w:tab w:leader="none" w:pos="557" w:val="left"/>
        </w:tabs>
        <w:numPr>
          <w:ilvl w:val="0"/>
          <w:numId w:val="9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Should any of the provisions set forth in this Release be determined to be invalid by a court or other tribunal of competent jurisdiction, it is agreed that such determination shall not affect the enforceability of other provisions of this Release.</w:t>
      </w:r>
    </w:p>
    <w:p>
      <w:pPr>
        <w:spacing w:after="0" w:line="183" w:lineRule="exact"/>
        <w:rPr>
          <w:rFonts w:ascii="Times New Roman" w:cs="Times New Roman" w:eastAsia="Times New Roman" w:hAnsi="Times New Roman"/>
          <w:sz w:val="19"/>
          <w:szCs w:val="19"/>
          <w:b w:val="1"/>
          <w:bCs w:val="1"/>
          <w:color w:val="auto"/>
        </w:rPr>
      </w:pPr>
    </w:p>
    <w:p>
      <w:pPr>
        <w:jc w:val="both"/>
        <w:ind w:firstLine="211"/>
        <w:spacing w:after="0" w:line="267" w:lineRule="auto"/>
        <w:tabs>
          <w:tab w:leader="none" w:pos="557" w:val="left"/>
        </w:tabs>
        <w:numPr>
          <w:ilvl w:val="0"/>
          <w:numId w:val="9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Nothing contained herein shall be deemed to prevent Executive from filing a charge or complaint, including a challenge to the validity of this Release, with the Equal Employment Opportunity Commission (“EEOC”) or from participating in any investigation or proceeding conducted by the EEOC; provided that Executive understands and agrees that he shall not be entitled to any damages or other type or form of award relating to any event that occurred prior to his execution of this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w:t>
      </w:r>
    </w:p>
    <w:p>
      <w:pPr>
        <w:sectPr>
          <w:pgSz w:w="11900" w:h="16838" w:orient="portrait"/>
          <w:cols w:equalWidth="0" w:num="1">
            <w:col w:w="11240"/>
          </w:cols>
          <w:pgMar w:left="320" w:top="1380" w:right="339" w:bottom="1440" w:gutter="0" w:footer="0" w:header="0"/>
        </w:sectPr>
      </w:pPr>
    </w:p>
    <w:bookmarkStart w:id="187" w:name="page188"/>
    <w:bookmarkEnd w:id="187"/>
    <w:p>
      <w:pPr>
        <w:jc w:val="both"/>
        <w:ind w:firstLine="238"/>
        <w:spacing w:after="0" w:line="260" w:lineRule="auto"/>
        <w:tabs>
          <w:tab w:leader="none" w:pos="622" w:val="left"/>
        </w:tabs>
        <w:numPr>
          <w:ilvl w:val="1"/>
          <w:numId w:val="9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Executive further agrees that in the event of his material breach of this Release, in addition to any other legal or equitable remedy, the Company shall be entitled to recover any payments made under the Employment Agreement, subject to any restrictions on such recovery or as may be imposed under applicable law or as may be required to ensure that this Release is and remains valid and enforceable.</w:t>
      </w:r>
    </w:p>
    <w:p>
      <w:pPr>
        <w:spacing w:after="0" w:line="2" w:lineRule="exact"/>
        <w:rPr>
          <w:rFonts w:ascii="Times New Roman" w:cs="Times New Roman" w:eastAsia="Times New Roman" w:hAnsi="Times New Roman"/>
          <w:sz w:val="19"/>
          <w:szCs w:val="19"/>
          <w:b w:val="1"/>
          <w:bCs w:val="1"/>
          <w:color w:val="auto"/>
        </w:rPr>
      </w:pPr>
    </w:p>
    <w:p>
      <w:pPr>
        <w:ind w:firstLine="198"/>
        <w:spacing w:after="0" w:line="265" w:lineRule="auto"/>
        <w:tabs>
          <w:tab w:leader="none" w:pos="530" w:val="left"/>
        </w:tabs>
        <w:numPr>
          <w:ilvl w:val="0"/>
          <w:numId w:val="9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Executive agrees that the general provisions of Section 7 of his Employment Agreement, including the arbitration provisions thereof, shall be deemed incorporated herein by this reference and shall be and remain in full force and effect.</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840" w:type="dxa"/>
            <w:vAlign w:val="bottom"/>
            <w:gridSpan w:val="5"/>
          </w:tcPr>
          <w:p>
            <w:pPr>
              <w:spacing w:after="0"/>
              <w:rPr>
                <w:sz w:val="20"/>
                <w:szCs w:val="20"/>
                <w:color w:val="auto"/>
              </w:rPr>
            </w:pPr>
            <w:r>
              <w:rPr>
                <w:rFonts w:ascii="Times New Roman" w:cs="Times New Roman" w:eastAsia="Times New Roman" w:hAnsi="Times New Roman"/>
                <w:sz w:val="19"/>
                <w:szCs w:val="19"/>
                <w:b w:val="1"/>
                <w:bCs w:val="1"/>
                <w:color w:val="auto"/>
              </w:rPr>
              <w:t>MARK W. JEANFREAU</w:t>
            </w:r>
          </w:p>
        </w:tc>
        <w:tc>
          <w:tcPr>
            <w:tcW w:w="20" w:type="dxa"/>
            <w:vAlign w:val="bottom"/>
          </w:tcPr>
          <w:p>
            <w:pPr>
              <w:spacing w:after="0"/>
              <w:rPr>
                <w:sz w:val="22"/>
                <w:szCs w:val="22"/>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9"/>
                <w:szCs w:val="19"/>
                <w:b w:val="1"/>
                <w:bCs w:val="1"/>
                <w:color w:val="auto"/>
                <w:w w:val="98"/>
              </w:rPr>
              <w:t>WITNESS:</w:t>
            </w:r>
          </w:p>
        </w:tc>
      </w:tr>
      <w:tr>
        <w:trPr>
          <w:trHeight w:val="429"/>
        </w:trPr>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8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auto"/>
              </w:rPr>
              <w:t>By:</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4"/>
        </w:trPr>
        <w:tc>
          <w:tcPr>
            <w:tcW w:w="480" w:type="dxa"/>
            <w:vAlign w:val="bottom"/>
            <w:tcBorders>
              <w:top w:val="single" w:sz="8" w:color="auto"/>
            </w:tcBorders>
          </w:tcPr>
          <w:p>
            <w:pPr>
              <w:spacing w:after="0" w:line="204" w:lineRule="exact"/>
              <w:rPr>
                <w:sz w:val="20"/>
                <w:szCs w:val="20"/>
                <w:color w:val="auto"/>
              </w:rPr>
            </w:pPr>
            <w:r>
              <w:rPr>
                <w:rFonts w:ascii="Times New Roman" w:cs="Times New Roman" w:eastAsia="Times New Roman" w:hAnsi="Times New Roman"/>
                <w:sz w:val="19"/>
                <w:szCs w:val="19"/>
                <w:color w:val="auto"/>
              </w:rPr>
              <w:t>Date:</w:t>
            </w:r>
          </w:p>
        </w:tc>
        <w:tc>
          <w:tcPr>
            <w:tcW w:w="680" w:type="dxa"/>
            <w:vAlign w:val="bottom"/>
            <w:tcBorders>
              <w:top w:val="single" w:sz="8" w:color="auto"/>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ind w:left="40"/>
              <w:spacing w:after="0" w:line="204" w:lineRule="exact"/>
              <w:rPr>
                <w:sz w:val="20"/>
                <w:szCs w:val="20"/>
                <w:color w:val="auto"/>
              </w:rPr>
            </w:pPr>
            <w:r>
              <w:rPr>
                <w:rFonts w:ascii="Times New Roman" w:cs="Times New Roman" w:eastAsia="Times New Roman" w:hAnsi="Times New Roman"/>
                <w:sz w:val="19"/>
                <w:szCs w:val="19"/>
                <w:color w:val="auto"/>
              </w:rPr>
              <w:t>Print Name:</w:t>
            </w: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217"/>
        </w:trPr>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gridSpan w:val="2"/>
          </w:tcPr>
          <w:p>
            <w:pPr>
              <w:ind w:left="200"/>
              <w:spacing w:after="0" w:line="217" w:lineRule="exact"/>
              <w:rPr>
                <w:sz w:val="20"/>
                <w:szCs w:val="20"/>
                <w:color w:val="auto"/>
              </w:rPr>
            </w:pPr>
            <w:r>
              <w:rPr>
                <w:rFonts w:ascii="Times New Roman" w:cs="Times New Roman" w:eastAsia="Times New Roman" w:hAnsi="Times New Roman"/>
                <w:sz w:val="19"/>
                <w:szCs w:val="19"/>
                <w:color w:val="auto"/>
              </w:rPr>
              <w:t>Date:</w:t>
            </w:r>
          </w:p>
        </w:tc>
        <w:tc>
          <w:tcPr>
            <w:tcW w:w="10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iii</w:t>
      </w:r>
    </w:p>
    <w:p>
      <w:pPr>
        <w:sectPr>
          <w:pgSz w:w="11900" w:h="16838" w:orient="portrait"/>
          <w:cols w:equalWidth="0" w:num="1">
            <w:col w:w="11240"/>
          </w:cols>
          <w:pgMar w:left="320" w:top="1380" w:right="339" w:bottom="1440" w:gutter="0" w:footer="0" w:header="0"/>
        </w:sectPr>
      </w:pPr>
    </w:p>
    <w:bookmarkStart w:id="188" w:name="page189"/>
    <w:bookmarkEnd w:id="188"/>
    <w:p>
      <w:pPr>
        <w:ind w:left="4340"/>
        <w:spacing w:after="0"/>
        <w:rPr>
          <w:sz w:val="20"/>
          <w:szCs w:val="20"/>
          <w:color w:val="auto"/>
        </w:rPr>
      </w:pPr>
      <w:r>
        <w:rPr>
          <w:rFonts w:ascii="Times New Roman" w:cs="Times New Roman" w:eastAsia="Times New Roman" w:hAnsi="Times New Roman"/>
          <w:sz w:val="19"/>
          <w:szCs w:val="19"/>
          <w:b w:val="1"/>
          <w:bCs w:val="1"/>
          <w:color w:val="auto"/>
        </w:rPr>
        <w:t>RENASANT CORPORATION</w:t>
      </w:r>
    </w:p>
    <w:p>
      <w:pPr>
        <w:spacing w:after="0" w:line="37"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9"/>
          <w:szCs w:val="19"/>
          <w:b w:val="1"/>
          <w:bCs w:val="1"/>
          <w:color w:val="auto"/>
        </w:rPr>
        <w:t>EXECUTIVE EMPLOYMENT AGREEMENT</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AMENDMENT NO. 1</w:t>
      </w:r>
    </w:p>
    <w:p>
      <w:pPr>
        <w:spacing w:after="0" w:line="229" w:lineRule="exact"/>
        <w:rPr>
          <w:sz w:val="20"/>
          <w:szCs w:val="20"/>
          <w:color w:val="auto"/>
        </w:rPr>
      </w:pPr>
    </w:p>
    <w:p>
      <w:pPr>
        <w:jc w:val="both"/>
        <w:ind w:firstLine="632"/>
        <w:spacing w:after="0" w:line="273" w:lineRule="auto"/>
        <w:rPr>
          <w:sz w:val="20"/>
          <w:szCs w:val="20"/>
          <w:color w:val="auto"/>
        </w:rPr>
      </w:pPr>
      <w:r>
        <w:rPr>
          <w:rFonts w:ascii="Times New Roman" w:cs="Times New Roman" w:eastAsia="Times New Roman" w:hAnsi="Times New Roman"/>
          <w:sz w:val="19"/>
          <w:szCs w:val="19"/>
          <w:b w:val="1"/>
          <w:bCs w:val="1"/>
          <w:color w:val="auto"/>
        </w:rPr>
        <w:t xml:space="preserve">THIS AMENDMENT NO. 1 </w:t>
      </w:r>
      <w:r>
        <w:rPr>
          <w:rFonts w:ascii="Times New Roman" w:cs="Times New Roman" w:eastAsia="Times New Roman" w:hAnsi="Times New Roman"/>
          <w:sz w:val="19"/>
          <w:szCs w:val="19"/>
          <w:color w:val="auto"/>
        </w:rPr>
        <w:t>(the “Amendment”) is made and entered into by and between Mark Mark W. Jeanfreau (“Executive”)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Renasant Corporation, a Mississippi corporation (the “Company”), and is intended to amend that certain Executive Employment Agreement by and between Executive and the Company dated and effective as of September 1, 2017 (the “Employment Agreement”).</w:t>
      </w:r>
    </w:p>
    <w:p>
      <w:pPr>
        <w:spacing w:after="0" w:line="189" w:lineRule="exact"/>
        <w:rPr>
          <w:sz w:val="20"/>
          <w:szCs w:val="20"/>
          <w:color w:val="auto"/>
        </w:rPr>
      </w:pPr>
    </w:p>
    <w:p>
      <w:pPr>
        <w:jc w:val="both"/>
        <w:ind w:firstLine="637"/>
        <w:spacing w:after="0" w:line="264" w:lineRule="auto"/>
        <w:tabs>
          <w:tab w:leader="none" w:pos="977" w:val="left"/>
        </w:tabs>
        <w:numPr>
          <w:ilvl w:val="0"/>
          <w:numId w:val="9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Effectiveness and Construction. </w:t>
      </w:r>
      <w:r>
        <w:rPr>
          <w:rFonts w:ascii="Times New Roman" w:cs="Times New Roman" w:eastAsia="Times New Roman" w:hAnsi="Times New Roman"/>
          <w:sz w:val="19"/>
          <w:szCs w:val="19"/>
          <w:color w:val="auto"/>
        </w:rPr>
        <w:t>This Amendment shall be effective as of January 1, 2021 (the “Effective Date”). To the extent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terms of this Amendment and the Employment Agreement shall conflict, for periods on or after the Effective Date, the terms of this Amendment shall control. In all other respects, the terms of the Employment Agreement are hereby ratified and confirmed and shall remain in full force and effect. Unless otherwise defined herein, capitalized terms shall have the meanings ascribed to them in the Employment Agreement.</w:t>
      </w:r>
    </w:p>
    <w:p>
      <w:pPr>
        <w:spacing w:after="0" w:line="196" w:lineRule="exact"/>
        <w:rPr>
          <w:rFonts w:ascii="Times New Roman" w:cs="Times New Roman" w:eastAsia="Times New Roman" w:hAnsi="Times New Roman"/>
          <w:sz w:val="19"/>
          <w:szCs w:val="19"/>
          <w:b w:val="1"/>
          <w:bCs w:val="1"/>
          <w:color w:val="auto"/>
        </w:rPr>
      </w:pPr>
    </w:p>
    <w:p>
      <w:pPr>
        <w:ind w:left="960" w:hanging="323"/>
        <w:spacing w:after="0"/>
        <w:tabs>
          <w:tab w:leader="none" w:pos="960" w:val="left"/>
        </w:tabs>
        <w:numPr>
          <w:ilvl w:val="0"/>
          <w:numId w:val="9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Amendments.</w:t>
      </w:r>
    </w:p>
    <w:p>
      <w:pPr>
        <w:spacing w:after="0" w:line="259" w:lineRule="exact"/>
        <w:rPr>
          <w:rFonts w:ascii="Times New Roman" w:cs="Times New Roman" w:eastAsia="Times New Roman" w:hAnsi="Times New Roman"/>
          <w:sz w:val="19"/>
          <w:szCs w:val="19"/>
          <w:b w:val="1"/>
          <w:bCs w:val="1"/>
          <w:color w:val="auto"/>
        </w:rPr>
      </w:pPr>
    </w:p>
    <w:p>
      <w:pPr>
        <w:jc w:val="both"/>
        <w:ind w:firstLine="1268"/>
        <w:spacing w:after="0" w:line="271" w:lineRule="auto"/>
        <w:tabs>
          <w:tab w:leader="none" w:pos="1813" w:val="left"/>
        </w:tabs>
        <w:numPr>
          <w:ilvl w:val="1"/>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Section 1.1 of the Employment Agreement is hereby amended to delete “Governance Counsel" and insert “General Counsel” in lieu thereof. Executive's appointment as General Counsel of the Company and its wholly-owned subsidiary Renasant Bank was effective as of January 21, 2020, notwithstanding the Effective Date.</w:t>
      </w:r>
    </w:p>
    <w:p>
      <w:pPr>
        <w:spacing w:after="0" w:line="181" w:lineRule="exact"/>
        <w:rPr>
          <w:rFonts w:ascii="Times New Roman" w:cs="Times New Roman" w:eastAsia="Times New Roman" w:hAnsi="Times New Roman"/>
          <w:sz w:val="19"/>
          <w:szCs w:val="19"/>
          <w:color w:val="auto"/>
        </w:rPr>
      </w:pPr>
    </w:p>
    <w:p>
      <w:pPr>
        <w:jc w:val="both"/>
        <w:ind w:firstLine="1268"/>
        <w:spacing w:after="0" w:line="267" w:lineRule="auto"/>
        <w:tabs>
          <w:tab w:leader="none" w:pos="1786" w:val="left"/>
        </w:tabs>
        <w:numPr>
          <w:ilvl w:val="1"/>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Section 3.2(d) of the Employment Agreement is hereby amended to insert “and an additional monthly payment in an amount mutually acceptable to the parties, which Executive agrees shall be applied solely for reasonable housing and similar or related expenses regularly incurred by him during any period in which he is performing services in Tupelo, Mississippi or such other location other than the metropolitan area where Executive's primary residence is located (being Memphis, Tennessee as of January 2021 )” at the end of such section.</w:t>
      </w:r>
    </w:p>
    <w:p>
      <w:pPr>
        <w:spacing w:after="0" w:line="195" w:lineRule="exact"/>
        <w:rPr>
          <w:sz w:val="20"/>
          <w:szCs w:val="20"/>
          <w:color w:val="auto"/>
        </w:rPr>
      </w:pPr>
    </w:p>
    <w:p>
      <w:pPr>
        <w:ind w:firstLine="632"/>
        <w:spacing w:after="0" w:line="286" w:lineRule="auto"/>
        <w:rPr>
          <w:sz w:val="20"/>
          <w:szCs w:val="20"/>
          <w:color w:val="auto"/>
        </w:rPr>
      </w:pPr>
      <w:r>
        <w:rPr>
          <w:rFonts w:ascii="Times New Roman" w:cs="Times New Roman" w:eastAsia="Times New Roman" w:hAnsi="Times New Roman"/>
          <w:sz w:val="19"/>
          <w:szCs w:val="19"/>
          <w:b w:val="1"/>
          <w:bCs w:val="1"/>
          <w:color w:val="auto"/>
        </w:rPr>
        <w:t xml:space="preserve">THIS AMENDMENT NO. 1 </w:t>
      </w:r>
      <w:r>
        <w:rPr>
          <w:rFonts w:ascii="Times New Roman" w:cs="Times New Roman" w:eastAsia="Times New Roman" w:hAnsi="Times New Roman"/>
          <w:sz w:val="19"/>
          <w:szCs w:val="19"/>
          <w:color w:val="auto"/>
        </w:rPr>
        <w:t>may be executed in multiple counterparts, including by means of facsimile or “PDF” transmission, each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which shall be deemed an original and all of which taken together shall constitute one and the same agreement.</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640" w:type="dxa"/>
            <w:vAlign w:val="bottom"/>
            <w:gridSpan w:val="4"/>
          </w:tcPr>
          <w:p>
            <w:pPr>
              <w:spacing w:after="0"/>
              <w:rPr>
                <w:sz w:val="20"/>
                <w:szCs w:val="20"/>
                <w:color w:val="auto"/>
              </w:rPr>
            </w:pPr>
            <w:r>
              <w:rPr>
                <w:rFonts w:ascii="Times New Roman" w:cs="Times New Roman" w:eastAsia="Times New Roman" w:hAnsi="Times New Roman"/>
                <w:sz w:val="19"/>
                <w:szCs w:val="19"/>
                <w:b w:val="1"/>
                <w:bCs w:val="1"/>
                <w:color w:val="auto"/>
              </w:rPr>
              <w:t>RENASANT CORPORATION:</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60" w:type="dxa"/>
            <w:vAlign w:val="bottom"/>
            <w:gridSpan w:val="2"/>
          </w:tcPr>
          <w:p>
            <w:pPr>
              <w:ind w:left="100"/>
              <w:spacing w:after="0"/>
              <w:rPr>
                <w:sz w:val="20"/>
                <w:szCs w:val="20"/>
                <w:color w:val="auto"/>
              </w:rPr>
            </w:pPr>
            <w:r>
              <w:rPr>
                <w:rFonts w:ascii="Times New Roman" w:cs="Times New Roman" w:eastAsia="Times New Roman" w:hAnsi="Times New Roman"/>
                <w:sz w:val="19"/>
                <w:szCs w:val="19"/>
                <w:b w:val="1"/>
                <w:bCs w:val="1"/>
                <w:color w:val="auto"/>
                <w:w w:val="99"/>
              </w:rPr>
              <w:t>MARK W. JEANFREAU:</w:t>
            </w:r>
          </w:p>
        </w:tc>
      </w:tr>
      <w:tr>
        <w:trPr>
          <w:trHeight w:val="416"/>
        </w:trPr>
        <w:tc>
          <w:tcPr>
            <w:tcW w:w="2640" w:type="dxa"/>
            <w:vAlign w:val="bottom"/>
            <w:gridSpan w:val="4"/>
          </w:tcPr>
          <w:p>
            <w:pPr>
              <w:spacing w:after="0"/>
              <w:rPr>
                <w:sz w:val="20"/>
                <w:szCs w:val="20"/>
                <w:color w:val="auto"/>
              </w:rPr>
            </w:pPr>
            <w:r>
              <w:rPr>
                <w:rFonts w:ascii="Times New Roman" w:cs="Times New Roman" w:eastAsia="Times New Roman" w:hAnsi="Times New Roman"/>
                <w:sz w:val="19"/>
                <w:szCs w:val="19"/>
                <w:color w:val="auto"/>
              </w:rPr>
              <w:t>By: /s/ C. Mitchell Waycaster</w:t>
            </w:r>
          </w:p>
        </w:tc>
        <w:tc>
          <w:tcPr>
            <w:tcW w:w="220" w:type="dxa"/>
            <w:vAlign w:val="bottom"/>
          </w:tcPr>
          <w:p>
            <w:pPr>
              <w:spacing w:after="0"/>
              <w:rPr>
                <w:sz w:val="24"/>
                <w:szCs w:val="24"/>
                <w:color w:val="auto"/>
              </w:rPr>
            </w:pPr>
          </w:p>
        </w:tc>
        <w:tc>
          <w:tcPr>
            <w:tcW w:w="252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auto"/>
              </w:rPr>
              <w:t>/s/ Mark W. Jeanfreau</w:t>
            </w:r>
          </w:p>
        </w:tc>
      </w:tr>
      <w:tr>
        <w:trPr>
          <w:trHeight w:val="20"/>
        </w:trPr>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60"/>
        </w:trPr>
        <w:tc>
          <w:tcPr>
            <w:tcW w:w="5380" w:type="dxa"/>
            <w:vAlign w:val="bottom"/>
            <w:gridSpan w:val="8"/>
          </w:tcPr>
          <w:p>
            <w:pPr>
              <w:spacing w:after="0"/>
              <w:rPr>
                <w:sz w:val="20"/>
                <w:szCs w:val="20"/>
                <w:color w:val="auto"/>
              </w:rPr>
            </w:pPr>
            <w:r>
              <w:rPr>
                <w:rFonts w:ascii="Times New Roman" w:cs="Times New Roman" w:eastAsia="Times New Roman" w:hAnsi="Times New Roman"/>
                <w:sz w:val="21"/>
                <w:szCs w:val="21"/>
                <w:color w:val="auto"/>
              </w:rPr>
              <w:t>C. Mitchell Waycaster, President and Chief</w:t>
            </w:r>
          </w:p>
        </w:tc>
      </w:tr>
      <w:tr>
        <w:trPr>
          <w:trHeight w:val="237"/>
        </w:trPr>
        <w:tc>
          <w:tcPr>
            <w:tcW w:w="2640" w:type="dxa"/>
            <w:vAlign w:val="bottom"/>
            <w:gridSpan w:val="4"/>
          </w:tcPr>
          <w:p>
            <w:pPr>
              <w:spacing w:after="0"/>
              <w:rPr>
                <w:sz w:val="20"/>
                <w:szCs w:val="20"/>
                <w:color w:val="auto"/>
              </w:rPr>
            </w:pPr>
            <w:r>
              <w:rPr>
                <w:rFonts w:ascii="Times New Roman" w:cs="Times New Roman" w:eastAsia="Times New Roman" w:hAnsi="Times New Roman"/>
                <w:sz w:val="19"/>
                <w:szCs w:val="19"/>
                <w:color w:val="auto"/>
              </w:rPr>
              <w:t>Executive Officer</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7"/>
        </w:trPr>
        <w:tc>
          <w:tcPr>
            <w:tcW w:w="2640" w:type="dxa"/>
            <w:vAlign w:val="bottom"/>
            <w:gridSpan w:val="4"/>
          </w:tcPr>
          <w:p>
            <w:pPr>
              <w:spacing w:after="0" w:line="207" w:lineRule="exact"/>
              <w:rPr>
                <w:sz w:val="20"/>
                <w:szCs w:val="20"/>
                <w:color w:val="auto"/>
              </w:rPr>
            </w:pPr>
            <w:r>
              <w:rPr>
                <w:rFonts w:ascii="Times New Roman" w:cs="Times New Roman" w:eastAsia="Times New Roman" w:hAnsi="Times New Roman"/>
                <w:sz w:val="19"/>
                <w:szCs w:val="19"/>
                <w:color w:val="auto"/>
              </w:rPr>
              <w:t>Date: February 10, 2021</w:t>
            </w:r>
          </w:p>
        </w:tc>
        <w:tc>
          <w:tcPr>
            <w:tcW w:w="2740" w:type="dxa"/>
            <w:vAlign w:val="bottom"/>
            <w:gridSpan w:val="4"/>
          </w:tcPr>
          <w:p>
            <w:pPr>
              <w:ind w:left="20"/>
              <w:spacing w:after="0" w:line="207" w:lineRule="exact"/>
              <w:rPr>
                <w:sz w:val="20"/>
                <w:szCs w:val="20"/>
                <w:color w:val="auto"/>
              </w:rPr>
            </w:pPr>
            <w:r>
              <w:rPr>
                <w:rFonts w:ascii="Times New Roman" w:cs="Times New Roman" w:eastAsia="Times New Roman" w:hAnsi="Times New Roman"/>
                <w:sz w:val="19"/>
                <w:szCs w:val="19"/>
                <w:color w:val="auto"/>
              </w:rPr>
              <w:t>Date: February 10, 2021</w:t>
            </w:r>
          </w:p>
        </w:tc>
      </w:tr>
      <w:tr>
        <w:trPr>
          <w:trHeight w:val="20"/>
        </w:trPr>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ectPr>
          <w:pgSz w:w="11900" w:h="16838" w:orient="portrait"/>
          <w:cols w:equalWidth="0" w:num="1">
            <w:col w:w="11240"/>
          </w:cols>
          <w:pgMar w:left="320" w:top="1376" w:right="339" w:bottom="1440" w:gutter="0" w:footer="0" w:header="0"/>
        </w:sectPr>
      </w:pPr>
    </w:p>
    <w:bookmarkStart w:id="189" w:name="page190"/>
    <w:bookmarkEnd w:id="189"/>
    <w:p>
      <w:pPr>
        <w:ind w:left="4340"/>
        <w:spacing w:after="0"/>
        <w:rPr>
          <w:sz w:val="20"/>
          <w:szCs w:val="20"/>
          <w:color w:val="auto"/>
        </w:rPr>
      </w:pPr>
      <w:r>
        <w:rPr>
          <w:rFonts w:ascii="Times New Roman" w:cs="Times New Roman" w:eastAsia="Times New Roman" w:hAnsi="Times New Roman"/>
          <w:sz w:val="19"/>
          <w:szCs w:val="19"/>
          <w:b w:val="1"/>
          <w:bCs w:val="1"/>
          <w:color w:val="auto"/>
        </w:rPr>
        <w:t>RENASANT CORPORATION</w:t>
      </w:r>
    </w:p>
    <w:p>
      <w:pPr>
        <w:spacing w:after="0" w:line="37"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9"/>
          <w:szCs w:val="19"/>
          <w:b w:val="1"/>
          <w:bCs w:val="1"/>
          <w:color w:val="auto"/>
        </w:rPr>
        <w:t>EXECUTIVE EMPLOYMENT AGREEMENT</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AMENDMENT NO. 2</w:t>
      </w:r>
    </w:p>
    <w:p>
      <w:pPr>
        <w:spacing w:after="0" w:line="229" w:lineRule="exact"/>
        <w:rPr>
          <w:sz w:val="20"/>
          <w:szCs w:val="20"/>
          <w:color w:val="auto"/>
        </w:rPr>
      </w:pPr>
    </w:p>
    <w:p>
      <w:pPr>
        <w:jc w:val="both"/>
        <w:ind w:firstLine="632"/>
        <w:spacing w:after="0" w:line="269" w:lineRule="auto"/>
        <w:rPr>
          <w:sz w:val="20"/>
          <w:szCs w:val="20"/>
          <w:color w:val="auto"/>
        </w:rPr>
      </w:pPr>
      <w:r>
        <w:rPr>
          <w:rFonts w:ascii="Times New Roman" w:cs="Times New Roman" w:eastAsia="Times New Roman" w:hAnsi="Times New Roman"/>
          <w:sz w:val="19"/>
          <w:szCs w:val="19"/>
          <w:b w:val="1"/>
          <w:bCs w:val="1"/>
          <w:color w:val="auto"/>
        </w:rPr>
        <w:t xml:space="preserve">THIS AMENDMENT NO. 2 TO EXECUTIVE EMPLOYMENT AGREEMENT </w:t>
      </w:r>
      <w:r>
        <w:rPr>
          <w:rFonts w:ascii="Times New Roman" w:cs="Times New Roman" w:eastAsia="Times New Roman" w:hAnsi="Times New Roman"/>
          <w:sz w:val="19"/>
          <w:szCs w:val="19"/>
          <w:color w:val="auto"/>
        </w:rPr>
        <w:t>(the “Amendment”) is made and entered into by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between Mark Mark W. Jeanfreau (“Executive”) and Renasant Corporation, a Mississippi corporation (the “Company”), and amends that certain Executive Employment Agreement by and between Executive and the Company effective as of September 1, 2017, as amended effective February 10, 2021 (as so amended, the “Employment Agreement”).</w:t>
      </w:r>
    </w:p>
    <w:p>
      <w:pPr>
        <w:spacing w:after="0" w:line="178" w:lineRule="exact"/>
        <w:rPr>
          <w:sz w:val="20"/>
          <w:szCs w:val="20"/>
          <w:color w:val="auto"/>
        </w:rPr>
      </w:pPr>
    </w:p>
    <w:p>
      <w:pPr>
        <w:jc w:val="both"/>
        <w:ind w:firstLine="637"/>
        <w:spacing w:after="0" w:line="266" w:lineRule="auto"/>
        <w:tabs>
          <w:tab w:leader="none" w:pos="999" w:val="left"/>
        </w:tabs>
        <w:numPr>
          <w:ilvl w:val="0"/>
          <w:numId w:val="9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Effectiveness and Construction. </w:t>
      </w:r>
      <w:r>
        <w:rPr>
          <w:rFonts w:ascii="Times New Roman" w:cs="Times New Roman" w:eastAsia="Times New Roman" w:hAnsi="Times New Roman"/>
          <w:sz w:val="19"/>
          <w:szCs w:val="19"/>
          <w:color w:val="auto"/>
        </w:rPr>
        <w:t>This Amendment shall be effective as of January 1, 2025 (the “Amendment Effective Date”).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extent the terms of this Amendment and the Employment Agreement conflict, for periods from and after the Amendment Effective Date the terms of this Amendment shall control. In all other respects, the terms of the Employment Agreement are hereby ratified and confirmed and shall remain in full force and effect. Unless otherwise defined herein, capitalized terms shall have the respective meanings ascribed to them in the Employment Agreement.</w:t>
      </w:r>
    </w:p>
    <w:p>
      <w:pPr>
        <w:spacing w:after="0" w:line="184" w:lineRule="exact"/>
        <w:rPr>
          <w:rFonts w:ascii="Times New Roman" w:cs="Times New Roman" w:eastAsia="Times New Roman" w:hAnsi="Times New Roman"/>
          <w:sz w:val="19"/>
          <w:szCs w:val="19"/>
          <w:b w:val="1"/>
          <w:bCs w:val="1"/>
          <w:color w:val="auto"/>
        </w:rPr>
      </w:pPr>
    </w:p>
    <w:p>
      <w:pPr>
        <w:ind w:left="1020" w:hanging="383"/>
        <w:spacing w:after="0"/>
        <w:tabs>
          <w:tab w:leader="none" w:pos="1020" w:val="left"/>
        </w:tabs>
        <w:numPr>
          <w:ilvl w:val="0"/>
          <w:numId w:val="9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Mandated Amounts. </w:t>
      </w:r>
      <w:r>
        <w:rPr>
          <w:rFonts w:ascii="Times New Roman" w:cs="Times New Roman" w:eastAsia="Times New Roman" w:hAnsi="Times New Roman"/>
          <w:sz w:val="19"/>
          <w:szCs w:val="19"/>
          <w:color w:val="auto"/>
        </w:rPr>
        <w:t>The Employment Agreement is amended by replacing the second paragraph of Section 4.2 thereof with the</w:t>
      </w:r>
    </w:p>
    <w:p>
      <w:pPr>
        <w:spacing w:after="0" w:line="37" w:lineRule="exact"/>
        <w:rPr>
          <w:rFonts w:ascii="Times New Roman" w:cs="Times New Roman" w:eastAsia="Times New Roman" w:hAnsi="Times New Roman"/>
          <w:sz w:val="19"/>
          <w:szCs w:val="19"/>
          <w:b w:val="1"/>
          <w:bCs w:val="1"/>
          <w:color w:val="auto"/>
        </w:rPr>
      </w:pPr>
    </w:p>
    <w:p>
      <w:pPr>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following:</w:t>
      </w:r>
    </w:p>
    <w:p>
      <w:pPr>
        <w:spacing w:after="0" w:line="227"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9"/>
          <w:szCs w:val="19"/>
          <w:color w:val="auto"/>
        </w:rPr>
        <w:t>As used herein, the “Mandated Amounts” shall consist of (a) any Base Compensation accrued but unpaid as of Executive’s Separation Date; (b) any unpaid transportation benefit due through the Separation Date under Section 3.2(d); (c) any expenses eligible for reimbursement under Section 3.2(e) or Section 3.3 and incurred through Executive’s Separation Date but that have not been reimbursed as of the Separation Date; (d) vested accrued benefits under any Company employee benefit plan or program subject to the terms of the applicable benefit plan or program; and (e) any additional amounts or benefits required by law to be provided, which cannot be waived. Payment or provision of the Mandated Amounts shall be made at the time or times and in the form prescribed under the applicable governing documents or in accordance with governing law, as the case may be.</w:t>
      </w:r>
    </w:p>
    <w:p>
      <w:pPr>
        <w:spacing w:after="0" w:line="188" w:lineRule="exact"/>
        <w:rPr>
          <w:sz w:val="20"/>
          <w:szCs w:val="20"/>
          <w:color w:val="auto"/>
        </w:rPr>
      </w:pPr>
    </w:p>
    <w:p>
      <w:pPr>
        <w:ind w:firstLine="637"/>
        <w:spacing w:after="0" w:line="301" w:lineRule="auto"/>
        <w:tabs>
          <w:tab w:leader="none" w:pos="1043" w:val="left"/>
        </w:tabs>
        <w:numPr>
          <w:ilvl w:val="0"/>
          <w:numId w:val="9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Executive’s Separation from Service In Connection With a Change in Control. </w:t>
      </w:r>
      <w:r>
        <w:rPr>
          <w:rFonts w:ascii="Times New Roman" w:cs="Times New Roman" w:eastAsia="Times New Roman" w:hAnsi="Times New Roman"/>
          <w:sz w:val="19"/>
          <w:szCs w:val="19"/>
          <w:color w:val="auto"/>
        </w:rPr>
        <w:t>The Employment Agreement is amended by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replacing Section 5.2(c) with the following:</w:t>
      </w:r>
    </w:p>
    <w:p>
      <w:pPr>
        <w:spacing w:after="0" w:line="167" w:lineRule="exact"/>
        <w:rPr>
          <w:sz w:val="20"/>
          <w:szCs w:val="20"/>
          <w:color w:val="auto"/>
        </w:rPr>
      </w:pPr>
    </w:p>
    <w:p>
      <w:pPr>
        <w:jc w:val="both"/>
        <w:ind w:left="960" w:hanging="323"/>
        <w:spacing w:after="0" w:line="262" w:lineRule="auto"/>
        <w:tabs>
          <w:tab w:leader="none" w:pos="1034"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cash payment equal to 2.5 times the aggregate of Executive’s (i) Base Compensation in effect prior to the Change in Control, determined without regard to any reduction thereof giving rise to a Constructive Termination, and (ii) average bonus paid under the PBRP with respect to the Company’s two whole fiscal years preceding such Change in Control; such aggregate amount to be paid in the form of a single-sum not more than 60 days following Executive’s Separation Date.</w:t>
      </w:r>
    </w:p>
    <w:p>
      <w:pPr>
        <w:spacing w:after="0" w:line="200" w:lineRule="exact"/>
        <w:rPr>
          <w:sz w:val="20"/>
          <w:szCs w:val="20"/>
          <w:color w:val="auto"/>
        </w:rPr>
      </w:pPr>
    </w:p>
    <w:p>
      <w:pPr>
        <w:ind w:left="640"/>
        <w:spacing w:after="0"/>
        <w:tabs>
          <w:tab w:leader="none" w:pos="960" w:val="left"/>
        </w:tabs>
        <w:rPr>
          <w:sz w:val="20"/>
          <w:szCs w:val="20"/>
          <w:color w:val="auto"/>
        </w:rPr>
      </w:pPr>
      <w:r>
        <w:rPr>
          <w:rFonts w:ascii="Times New Roman" w:cs="Times New Roman" w:eastAsia="Times New Roman" w:hAnsi="Times New Roman"/>
          <w:sz w:val="19"/>
          <w:szCs w:val="19"/>
          <w:b w:val="1"/>
          <w:bCs w:val="1"/>
          <w:color w:val="auto"/>
        </w:rPr>
        <w:t>4.</w:t>
        <w:tab/>
        <w:t>Executive’s Covenants.</w:t>
      </w:r>
    </w:p>
    <w:p>
      <w:pPr>
        <w:spacing w:after="0" w:line="259" w:lineRule="exact"/>
        <w:rPr>
          <w:sz w:val="20"/>
          <w:szCs w:val="20"/>
          <w:color w:val="auto"/>
        </w:rPr>
      </w:pPr>
    </w:p>
    <w:p>
      <w:pPr>
        <w:ind w:left="1260"/>
        <w:spacing w:after="0"/>
        <w:tabs>
          <w:tab w:leader="none" w:pos="1660" w:val="left"/>
        </w:tabs>
        <w:rPr>
          <w:sz w:val="20"/>
          <w:szCs w:val="20"/>
          <w:color w:val="auto"/>
        </w:rPr>
      </w:pPr>
      <w:r>
        <w:rPr>
          <w:rFonts w:ascii="Times New Roman" w:cs="Times New Roman" w:eastAsia="Times New Roman" w:hAnsi="Times New Roman"/>
          <w:sz w:val="19"/>
          <w:szCs w:val="19"/>
          <w:color w:val="auto"/>
        </w:rPr>
        <w:t>(a)</w:t>
        <w:tab/>
        <w:t>The Employment Agreement is amended by inserting the following at the end of Section 6.2 thereof:</w:t>
      </w:r>
    </w:p>
    <w:p>
      <w:pPr>
        <w:spacing w:after="0" w:line="242" w:lineRule="exact"/>
        <w:rPr>
          <w:sz w:val="20"/>
          <w:szCs w:val="20"/>
          <w:color w:val="auto"/>
        </w:rPr>
      </w:pPr>
    </w:p>
    <w:p>
      <w:pPr>
        <w:jc w:val="both"/>
        <w:ind w:left="640"/>
        <w:spacing w:after="0" w:line="271" w:lineRule="auto"/>
        <w:rPr>
          <w:sz w:val="20"/>
          <w:szCs w:val="20"/>
          <w:color w:val="auto"/>
        </w:rPr>
      </w:pPr>
      <w:r>
        <w:rPr>
          <w:rFonts w:ascii="Times New Roman" w:cs="Times New Roman" w:eastAsia="Times New Roman" w:hAnsi="Times New Roman"/>
          <w:sz w:val="19"/>
          <w:szCs w:val="19"/>
          <w:color w:val="auto"/>
        </w:rPr>
        <w:t>For the avoidance of doubt, nothing in this Agreement prohibits or restricts (or should be interpreted to prohibit or restrict) Executive (or his attorney) from reporting truthfully and in good faith to, or responding to any inquiry by, any federal, state, or local agency or regulatory authority</w:t>
      </w:r>
    </w:p>
    <w:p>
      <w:pPr>
        <w:sectPr>
          <w:pgSz w:w="11900" w:h="16838" w:orient="portrait"/>
          <w:cols w:equalWidth="0" w:num="1">
            <w:col w:w="11240"/>
          </w:cols>
          <w:pgMar w:left="320" w:top="1376" w:right="339" w:bottom="1440" w:gutter="0" w:footer="0" w:header="0"/>
        </w:sectPr>
      </w:pPr>
    </w:p>
    <w:bookmarkStart w:id="190" w:name="page191"/>
    <w:bookmarkEnd w:id="190"/>
    <w:p>
      <w:pPr>
        <w:jc w:val="both"/>
        <w:ind w:left="640"/>
        <w:spacing w:after="0" w:line="262" w:lineRule="auto"/>
        <w:rPr>
          <w:sz w:val="20"/>
          <w:szCs w:val="20"/>
          <w:color w:val="auto"/>
        </w:rPr>
      </w:pPr>
      <w:r>
        <w:rPr>
          <w:rFonts w:ascii="Times New Roman" w:cs="Times New Roman" w:eastAsia="Times New Roman" w:hAnsi="Times New Roman"/>
          <w:sz w:val="19"/>
          <w:szCs w:val="19"/>
          <w:color w:val="auto"/>
        </w:rPr>
        <w:t>or self-regulatory authority, including, without limitation, the Securities &amp; Exchange Commission, the Financial Industry Regulatory Authority, the Equal Employment Opportunity Commission or the National Labor Relations Board, about a possible violation of law or regulation or making other disclosures that are protected under whistleblower or other provisions or any applicable federal or state law or regulations. Furthermore, Executive shall not be required to obtain the Company’s or the Bank’s prior authorization to make any such reports or disclosures, nor is Executive required to notify the Company or the Bank that he has made any such reports or disclosures.</w:t>
      </w:r>
    </w:p>
    <w:p>
      <w:pPr>
        <w:spacing w:after="0" w:line="202" w:lineRule="exact"/>
        <w:rPr>
          <w:sz w:val="20"/>
          <w:szCs w:val="20"/>
          <w:color w:val="auto"/>
        </w:rPr>
      </w:pPr>
    </w:p>
    <w:p>
      <w:pPr>
        <w:jc w:val="both"/>
        <w:ind w:left="640"/>
        <w:spacing w:after="0" w:line="259" w:lineRule="auto"/>
        <w:rPr>
          <w:sz w:val="20"/>
          <w:szCs w:val="20"/>
          <w:color w:val="auto"/>
        </w:rPr>
      </w:pPr>
      <w:r>
        <w:rPr>
          <w:rFonts w:ascii="Times New Roman" w:cs="Times New Roman" w:eastAsia="Times New Roman" w:hAnsi="Times New Roman"/>
          <w:sz w:val="19"/>
          <w:szCs w:val="19"/>
          <w:color w:val="auto"/>
        </w:rPr>
        <w:t>Executive is hereby notified in accordance with the Defend Trade Secrets Act of 2016 that Executive will not be held criminally or civilly liable under any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that is filed under seal in a lawsuit or other proceeding. Executive is further notified that if Executive files an action for retaliation by an employer for reporting a suspected violation of law, Executive may disclose the Company’s trade secrets to Executive’s attorney and use the trade secret information in a proceeding if Executive: (x) files any document containing the trade secret under seal; and (y) does not disclose the trade secret, except pursuant to court order.</w:t>
      </w:r>
    </w:p>
    <w:p>
      <w:pPr>
        <w:spacing w:after="0" w:line="206" w:lineRule="exact"/>
        <w:rPr>
          <w:sz w:val="20"/>
          <w:szCs w:val="20"/>
          <w:color w:val="auto"/>
        </w:rPr>
      </w:pPr>
    </w:p>
    <w:p>
      <w:pPr>
        <w:jc w:val="both"/>
        <w:ind w:firstLine="1268"/>
        <w:spacing w:after="0" w:line="267" w:lineRule="auto"/>
        <w:tabs>
          <w:tab w:leader="none" w:pos="1789"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 expressly acknowledges and agrees that the covenants set forth in Section 6 of the Employment Executive Agreement, as amended hereby, shall continue in force and effect in accordance with their terms and for avoidance of doubt, that his “Separation Date” thereunder shall be the date on which he ceases to be employed by the Company and the Bank, which may be concurrent with the Expiration Date of at a subsequent date thereafter.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THIS AMENDMENT </w:t>
      </w:r>
      <w:r>
        <w:rPr>
          <w:rFonts w:ascii="Times New Roman" w:cs="Times New Roman" w:eastAsia="Times New Roman" w:hAnsi="Times New Roman"/>
          <w:sz w:val="19"/>
          <w:szCs w:val="19"/>
          <w:color w:val="auto"/>
        </w:rPr>
        <w:t>was approved by the Board of Directors of the Company prior to the date hereof, to be effective as provided herein.</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860" w:type="dxa"/>
            <w:vAlign w:val="bottom"/>
            <w:gridSpan w:val="4"/>
          </w:tcPr>
          <w:p>
            <w:pPr>
              <w:spacing w:after="0"/>
              <w:rPr>
                <w:sz w:val="20"/>
                <w:szCs w:val="20"/>
                <w:color w:val="auto"/>
              </w:rPr>
            </w:pPr>
            <w:r>
              <w:rPr>
                <w:rFonts w:ascii="Times New Roman" w:cs="Times New Roman" w:eastAsia="Times New Roman" w:hAnsi="Times New Roman"/>
                <w:sz w:val="19"/>
                <w:szCs w:val="19"/>
                <w:b w:val="1"/>
                <w:bCs w:val="1"/>
                <w:color w:val="auto"/>
              </w:rPr>
              <w:t>RENASANT CORPORATION:</w:t>
            </w:r>
          </w:p>
        </w:tc>
        <w:tc>
          <w:tcPr>
            <w:tcW w:w="220" w:type="dxa"/>
            <w:vAlign w:val="bottom"/>
          </w:tcPr>
          <w:p>
            <w:pPr>
              <w:spacing w:after="0"/>
              <w:rPr>
                <w:sz w:val="22"/>
                <w:szCs w:val="22"/>
                <w:color w:val="auto"/>
              </w:rPr>
            </w:pPr>
          </w:p>
        </w:tc>
        <w:tc>
          <w:tcPr>
            <w:tcW w:w="2300" w:type="dxa"/>
            <w:vAlign w:val="bottom"/>
            <w:gridSpan w:val="2"/>
          </w:tcPr>
          <w:p>
            <w:pPr>
              <w:ind w:left="140"/>
              <w:spacing w:after="0"/>
              <w:rPr>
                <w:sz w:val="20"/>
                <w:szCs w:val="20"/>
                <w:color w:val="auto"/>
              </w:rPr>
            </w:pPr>
            <w:r>
              <w:rPr>
                <w:rFonts w:ascii="Times New Roman" w:cs="Times New Roman" w:eastAsia="Times New Roman" w:hAnsi="Times New Roman"/>
                <w:sz w:val="19"/>
                <w:szCs w:val="19"/>
                <w:b w:val="1"/>
                <w:bCs w:val="1"/>
                <w:color w:val="auto"/>
                <w:w w:val="99"/>
              </w:rPr>
              <w:t>MARK W. JEANFREAU:</w:t>
            </w:r>
          </w:p>
        </w:tc>
      </w:tr>
      <w:tr>
        <w:trPr>
          <w:trHeight w:val="416"/>
        </w:trPr>
        <w:tc>
          <w:tcPr>
            <w:tcW w:w="242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By: /s/ C. Mitchell Waycaster</w:t>
            </w:r>
          </w:p>
        </w:tc>
        <w:tc>
          <w:tcPr>
            <w:tcW w:w="440" w:type="dxa"/>
            <w:vAlign w:val="bottom"/>
          </w:tcPr>
          <w:p>
            <w:pPr>
              <w:spacing w:after="0"/>
              <w:rPr>
                <w:sz w:val="24"/>
                <w:szCs w:val="24"/>
                <w:color w:val="auto"/>
              </w:rPr>
            </w:pPr>
          </w:p>
        </w:tc>
        <w:tc>
          <w:tcPr>
            <w:tcW w:w="252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auto"/>
              </w:rPr>
              <w:t>/s/ Mark W. Jeanfreau</w:t>
            </w:r>
          </w:p>
        </w:tc>
      </w:tr>
      <w:tr>
        <w:trPr>
          <w:trHeight w:val="20"/>
        </w:trPr>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38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r>
      <w:tr>
        <w:trPr>
          <w:trHeight w:val="294"/>
        </w:trPr>
        <w:tc>
          <w:tcPr>
            <w:tcW w:w="5380" w:type="dxa"/>
            <w:vAlign w:val="bottom"/>
            <w:gridSpan w:val="7"/>
          </w:tcPr>
          <w:p>
            <w:pPr>
              <w:spacing w:after="0"/>
              <w:rPr>
                <w:sz w:val="20"/>
                <w:szCs w:val="20"/>
                <w:color w:val="auto"/>
              </w:rPr>
            </w:pPr>
            <w:r>
              <w:rPr>
                <w:rFonts w:ascii="Times New Roman" w:cs="Times New Roman" w:eastAsia="Times New Roman" w:hAnsi="Times New Roman"/>
                <w:sz w:val="21"/>
                <w:szCs w:val="21"/>
                <w:color w:val="auto"/>
              </w:rPr>
              <w:t xml:space="preserve">C. Mitchell Waycaster, Chief </w:t>
            </w:r>
            <w:r>
              <w:rPr>
                <w:rFonts w:ascii="Times New Roman" w:cs="Times New Roman" w:eastAsia="Times New Roman" w:hAnsi="Times New Roman"/>
                <w:sz w:val="19"/>
                <w:szCs w:val="19"/>
                <w:color w:val="auto"/>
              </w:rPr>
              <w:t>Executive Officer</w:t>
            </w:r>
          </w:p>
        </w:tc>
      </w:tr>
      <w:tr>
        <w:trPr>
          <w:trHeight w:val="410"/>
        </w:trPr>
        <w:tc>
          <w:tcPr>
            <w:tcW w:w="242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Date: January 28, 2025</w:t>
            </w:r>
          </w:p>
        </w:tc>
        <w:tc>
          <w:tcPr>
            <w:tcW w:w="2960" w:type="dxa"/>
            <w:vAlign w:val="bottom"/>
            <w:gridSpan w:val="4"/>
          </w:tcPr>
          <w:p>
            <w:pPr>
              <w:ind w:left="200"/>
              <w:spacing w:after="0"/>
              <w:rPr>
                <w:sz w:val="20"/>
                <w:szCs w:val="20"/>
                <w:color w:val="auto"/>
              </w:rPr>
            </w:pPr>
            <w:r>
              <w:rPr>
                <w:rFonts w:ascii="Times New Roman" w:cs="Times New Roman" w:eastAsia="Times New Roman" w:hAnsi="Times New Roman"/>
                <w:sz w:val="19"/>
                <w:szCs w:val="19"/>
                <w:color w:val="auto"/>
              </w:rPr>
              <w:t>Date: January 28, 2025</w:t>
            </w:r>
          </w:p>
        </w:tc>
      </w:tr>
      <w:tr>
        <w:trPr>
          <w:trHeight w:val="20"/>
        </w:trPr>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ectPr>
          <w:pgSz w:w="11900" w:h="16838" w:orient="portrait"/>
          <w:cols w:equalWidth="0" w:num="1">
            <w:col w:w="11240"/>
          </w:cols>
          <w:pgMar w:left="320" w:top="1380" w:right="339" w:bottom="1440" w:gutter="0" w:footer="0" w:header="0"/>
        </w:sectPr>
      </w:pPr>
    </w:p>
    <w:bookmarkStart w:id="191" w:name="page192"/>
    <w:bookmarkEnd w:id="191"/>
    <w:p>
      <w:pPr>
        <w:spacing w:after="0" w:line="1" w:lineRule="exact"/>
        <w:rPr>
          <w:sz w:val="20"/>
          <w:szCs w:val="20"/>
          <w:color w:val="auto"/>
        </w:rPr>
      </w:pPr>
    </w:p>
    <w:tbl>
      <w:tblPr>
        <w:tblLayout w:type="fixed"/>
        <w:tblInd w:w="15"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78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w w:val="95"/>
              </w:rPr>
              <w:t>Exhibit 21</w:t>
            </w:r>
          </w:p>
        </w:tc>
      </w:tr>
      <w:tr>
        <w:trPr>
          <w:trHeight w:val="421"/>
        </w:trPr>
        <w:tc>
          <w:tcPr>
            <w:tcW w:w="4240" w:type="dxa"/>
            <w:vAlign w:val="bottom"/>
          </w:tcPr>
          <w:p>
            <w:pPr>
              <w:spacing w:after="0"/>
              <w:rPr>
                <w:sz w:val="24"/>
                <w:szCs w:val="24"/>
                <w:color w:val="auto"/>
              </w:rPr>
            </w:pPr>
          </w:p>
        </w:tc>
        <w:tc>
          <w:tcPr>
            <w:tcW w:w="420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3"/>
        </w:trPr>
        <w:tc>
          <w:tcPr>
            <w:tcW w:w="4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6"/>
              </w:rPr>
              <w:t>Jurisdiction of</w:t>
            </w:r>
          </w:p>
        </w:tc>
        <w:tc>
          <w:tcPr>
            <w:tcW w:w="2780" w:type="dxa"/>
            <w:vAlign w:val="bottom"/>
            <w:gridSpan w:val="2"/>
          </w:tcPr>
          <w:p>
            <w:pPr>
              <w:ind w:left="1040"/>
              <w:spacing w:after="0"/>
              <w:rPr>
                <w:sz w:val="20"/>
                <w:szCs w:val="20"/>
                <w:color w:val="auto"/>
              </w:rPr>
            </w:pPr>
            <w:r>
              <w:rPr>
                <w:rFonts w:ascii="Times New Roman" w:cs="Times New Roman" w:eastAsia="Times New Roman" w:hAnsi="Times New Roman"/>
                <w:sz w:val="18"/>
                <w:szCs w:val="18"/>
                <w:b w:val="1"/>
                <w:bCs w:val="1"/>
                <w:color w:val="auto"/>
              </w:rPr>
              <w:t>Holder of</w:t>
            </w:r>
          </w:p>
        </w:tc>
      </w:tr>
      <w:tr>
        <w:trPr>
          <w:trHeight w:val="263"/>
        </w:trPr>
        <w:tc>
          <w:tcPr>
            <w:tcW w:w="424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720" w:type="dxa"/>
            <w:vAlign w:val="bottom"/>
          </w:tcPr>
          <w:p>
            <w:pPr>
              <w:spacing w:after="0"/>
              <w:rPr>
                <w:sz w:val="22"/>
                <w:szCs w:val="22"/>
                <w:color w:val="auto"/>
              </w:rPr>
            </w:pPr>
          </w:p>
        </w:tc>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Incorporation/Organization</w:t>
            </w:r>
          </w:p>
        </w:tc>
        <w:tc>
          <w:tcPr>
            <w:tcW w:w="720" w:type="dxa"/>
            <w:vAlign w:val="bottom"/>
          </w:tcPr>
          <w:p>
            <w:pPr>
              <w:spacing w:after="0"/>
              <w:rPr>
                <w:sz w:val="22"/>
                <w:szCs w:val="22"/>
                <w:color w:val="auto"/>
              </w:rPr>
            </w:pPr>
          </w:p>
        </w:tc>
        <w:tc>
          <w:tcPr>
            <w:tcW w:w="27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Outstanding Equity Interests</w:t>
            </w:r>
          </w:p>
        </w:tc>
        <w:tc>
          <w:tcPr>
            <w:tcW w:w="20" w:type="dxa"/>
            <w:vAlign w:val="bottom"/>
          </w:tcPr>
          <w:p>
            <w:pPr>
              <w:spacing w:after="0"/>
              <w:rPr>
                <w:sz w:val="22"/>
                <w:szCs w:val="22"/>
                <w:color w:val="auto"/>
              </w:rPr>
            </w:pPr>
          </w:p>
        </w:tc>
      </w:tr>
      <w:tr>
        <w:trPr>
          <w:trHeight w:val="462"/>
        </w:trPr>
        <w:tc>
          <w:tcPr>
            <w:tcW w:w="4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Renasant Bank</w:t>
            </w:r>
          </w:p>
        </w:tc>
        <w:tc>
          <w:tcPr>
            <w:tcW w:w="720" w:type="dxa"/>
            <w:vAlign w:val="bottom"/>
          </w:tcPr>
          <w:p>
            <w:pPr>
              <w:spacing w:after="0"/>
              <w:rPr>
                <w:sz w:val="24"/>
                <w:szCs w:val="24"/>
                <w:color w:val="auto"/>
              </w:rPr>
            </w:pPr>
          </w:p>
        </w:tc>
        <w:tc>
          <w:tcPr>
            <w:tcW w:w="34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7"/>
              </w:rPr>
              <w:t>Mississippi</w:t>
            </w:r>
          </w:p>
        </w:tc>
        <w:tc>
          <w:tcPr>
            <w:tcW w:w="2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Renasant Corporation</w:t>
            </w:r>
          </w:p>
        </w:tc>
      </w:tr>
      <w:tr>
        <w:trPr>
          <w:trHeight w:val="224"/>
        </w:trPr>
        <w:tc>
          <w:tcPr>
            <w:tcW w:w="4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Park Place Capital Corporation</w:t>
            </w:r>
          </w:p>
        </w:tc>
        <w:tc>
          <w:tcPr>
            <w:tcW w:w="720" w:type="dxa"/>
            <w:vAlign w:val="bottom"/>
          </w:tcPr>
          <w:p>
            <w:pPr>
              <w:spacing w:after="0"/>
              <w:rPr>
                <w:sz w:val="19"/>
                <w:szCs w:val="19"/>
                <w:color w:val="auto"/>
              </w:rPr>
            </w:pPr>
          </w:p>
        </w:tc>
        <w:tc>
          <w:tcPr>
            <w:tcW w:w="34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5"/>
              </w:rPr>
              <w:t>Tennessee</w:t>
            </w:r>
          </w:p>
        </w:tc>
        <w:tc>
          <w:tcPr>
            <w:tcW w:w="2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Renasant Corporation</w:t>
            </w:r>
          </w:p>
        </w:tc>
      </w:tr>
      <w:tr>
        <w:trPr>
          <w:trHeight w:val="224"/>
        </w:trPr>
        <w:tc>
          <w:tcPr>
            <w:tcW w:w="4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HF Air, LLC</w:t>
            </w:r>
          </w:p>
        </w:tc>
        <w:tc>
          <w:tcPr>
            <w:tcW w:w="720" w:type="dxa"/>
            <w:vAlign w:val="bottom"/>
          </w:tcPr>
          <w:p>
            <w:pPr>
              <w:spacing w:after="0"/>
              <w:rPr>
                <w:sz w:val="19"/>
                <w:szCs w:val="19"/>
                <w:color w:val="auto"/>
              </w:rPr>
            </w:pPr>
          </w:p>
        </w:tc>
        <w:tc>
          <w:tcPr>
            <w:tcW w:w="34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7"/>
              </w:rPr>
              <w:t>Mississippi</w:t>
            </w:r>
          </w:p>
        </w:tc>
        <w:tc>
          <w:tcPr>
            <w:tcW w:w="2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Renasant Corporation</w:t>
            </w:r>
          </w:p>
        </w:tc>
      </w:tr>
      <w:tr>
        <w:trPr>
          <w:trHeight w:val="224"/>
        </w:trPr>
        <w:tc>
          <w:tcPr>
            <w:tcW w:w="4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Primeco, Inc.</w:t>
            </w:r>
          </w:p>
        </w:tc>
        <w:tc>
          <w:tcPr>
            <w:tcW w:w="720" w:type="dxa"/>
            <w:vAlign w:val="bottom"/>
          </w:tcPr>
          <w:p>
            <w:pPr>
              <w:spacing w:after="0"/>
              <w:rPr>
                <w:sz w:val="19"/>
                <w:szCs w:val="19"/>
                <w:color w:val="auto"/>
              </w:rPr>
            </w:pPr>
          </w:p>
        </w:tc>
        <w:tc>
          <w:tcPr>
            <w:tcW w:w="34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8"/>
              </w:rPr>
              <w:t>Delaware</w:t>
            </w:r>
          </w:p>
        </w:tc>
        <w:tc>
          <w:tcPr>
            <w:tcW w:w="2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Renasant Bank</w:t>
            </w:r>
          </w:p>
        </w:tc>
      </w:tr>
      <w:tr>
        <w:trPr>
          <w:trHeight w:val="224"/>
        </w:trPr>
        <w:tc>
          <w:tcPr>
            <w:tcW w:w="4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Renasant Leasing Corp. II</w:t>
            </w:r>
          </w:p>
        </w:tc>
        <w:tc>
          <w:tcPr>
            <w:tcW w:w="720" w:type="dxa"/>
            <w:vAlign w:val="bottom"/>
          </w:tcPr>
          <w:p>
            <w:pPr>
              <w:spacing w:after="0"/>
              <w:rPr>
                <w:sz w:val="19"/>
                <w:szCs w:val="19"/>
                <w:color w:val="auto"/>
              </w:rPr>
            </w:pPr>
          </w:p>
        </w:tc>
        <w:tc>
          <w:tcPr>
            <w:tcW w:w="34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5"/>
              </w:rPr>
              <w:t>Tennessee</w:t>
            </w:r>
          </w:p>
        </w:tc>
        <w:tc>
          <w:tcPr>
            <w:tcW w:w="2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Renasant Bank</w:t>
            </w:r>
          </w:p>
        </w:tc>
      </w:tr>
      <w:tr>
        <w:trPr>
          <w:trHeight w:val="224"/>
        </w:trPr>
        <w:tc>
          <w:tcPr>
            <w:tcW w:w="4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Renasant Investment Corp.</w:t>
            </w:r>
          </w:p>
        </w:tc>
        <w:tc>
          <w:tcPr>
            <w:tcW w:w="720" w:type="dxa"/>
            <w:vAlign w:val="bottom"/>
          </w:tcPr>
          <w:p>
            <w:pPr>
              <w:spacing w:after="0"/>
              <w:rPr>
                <w:sz w:val="19"/>
                <w:szCs w:val="19"/>
                <w:color w:val="auto"/>
              </w:rPr>
            </w:pPr>
          </w:p>
        </w:tc>
        <w:tc>
          <w:tcPr>
            <w:tcW w:w="34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8"/>
              </w:rPr>
              <w:t>Delaware</w:t>
            </w:r>
          </w:p>
        </w:tc>
        <w:tc>
          <w:tcPr>
            <w:tcW w:w="2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Renasant Leasing Corp. II</w:t>
            </w:r>
          </w:p>
        </w:tc>
      </w:tr>
      <w:tr>
        <w:trPr>
          <w:trHeight w:val="224"/>
        </w:trPr>
        <w:tc>
          <w:tcPr>
            <w:tcW w:w="4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Renasant Capital Corp. II</w:t>
            </w:r>
          </w:p>
        </w:tc>
        <w:tc>
          <w:tcPr>
            <w:tcW w:w="720" w:type="dxa"/>
            <w:vAlign w:val="bottom"/>
          </w:tcPr>
          <w:p>
            <w:pPr>
              <w:spacing w:after="0"/>
              <w:rPr>
                <w:sz w:val="19"/>
                <w:szCs w:val="19"/>
                <w:color w:val="auto"/>
              </w:rPr>
            </w:pPr>
          </w:p>
        </w:tc>
        <w:tc>
          <w:tcPr>
            <w:tcW w:w="34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7"/>
              </w:rPr>
              <w:t>Maryland</w:t>
            </w:r>
          </w:p>
        </w:tc>
        <w:tc>
          <w:tcPr>
            <w:tcW w:w="2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Renasant Investment Corp.</w:t>
            </w:r>
          </w:p>
        </w:tc>
      </w:tr>
      <w:tr>
        <w:trPr>
          <w:trHeight w:val="224"/>
        </w:trPr>
        <w:tc>
          <w:tcPr>
            <w:tcW w:w="4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Renasant Capital Funding Corp.</w:t>
            </w:r>
          </w:p>
        </w:tc>
        <w:tc>
          <w:tcPr>
            <w:tcW w:w="720" w:type="dxa"/>
            <w:vAlign w:val="bottom"/>
          </w:tcPr>
          <w:p>
            <w:pPr>
              <w:spacing w:after="0"/>
              <w:rPr>
                <w:sz w:val="19"/>
                <w:szCs w:val="19"/>
                <w:color w:val="auto"/>
              </w:rPr>
            </w:pPr>
          </w:p>
        </w:tc>
        <w:tc>
          <w:tcPr>
            <w:tcW w:w="34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6"/>
              </w:rPr>
              <w:t>Georgia</w:t>
            </w:r>
          </w:p>
        </w:tc>
        <w:tc>
          <w:tcPr>
            <w:tcW w:w="2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Renasant Investment Corp.</w:t>
            </w:r>
          </w:p>
        </w:tc>
      </w:tr>
      <w:tr>
        <w:trPr>
          <w:trHeight w:val="224"/>
        </w:trPr>
        <w:tc>
          <w:tcPr>
            <w:tcW w:w="4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Park Place Capital Securities Corporation</w:t>
            </w:r>
          </w:p>
        </w:tc>
        <w:tc>
          <w:tcPr>
            <w:tcW w:w="720" w:type="dxa"/>
            <w:vAlign w:val="bottom"/>
          </w:tcPr>
          <w:p>
            <w:pPr>
              <w:spacing w:after="0"/>
              <w:rPr>
                <w:sz w:val="19"/>
                <w:szCs w:val="19"/>
                <w:color w:val="auto"/>
              </w:rPr>
            </w:pPr>
          </w:p>
        </w:tc>
        <w:tc>
          <w:tcPr>
            <w:tcW w:w="34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8"/>
              </w:rPr>
              <w:t>Delaware</w:t>
            </w:r>
          </w:p>
        </w:tc>
        <w:tc>
          <w:tcPr>
            <w:tcW w:w="2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Park Place Capital Corporation</w:t>
            </w:r>
          </w:p>
        </w:tc>
      </w:tr>
      <w:tr>
        <w:trPr>
          <w:trHeight w:val="224"/>
        </w:trPr>
        <w:tc>
          <w:tcPr>
            <w:tcW w:w="4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Renasant Securities Corp.</w:t>
            </w:r>
          </w:p>
        </w:tc>
        <w:tc>
          <w:tcPr>
            <w:tcW w:w="720" w:type="dxa"/>
            <w:vAlign w:val="bottom"/>
          </w:tcPr>
          <w:p>
            <w:pPr>
              <w:spacing w:after="0"/>
              <w:rPr>
                <w:sz w:val="19"/>
                <w:szCs w:val="19"/>
                <w:color w:val="auto"/>
              </w:rPr>
            </w:pPr>
          </w:p>
        </w:tc>
        <w:tc>
          <w:tcPr>
            <w:tcW w:w="34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7"/>
              </w:rPr>
              <w:t>Mississippi</w:t>
            </w:r>
          </w:p>
        </w:tc>
        <w:tc>
          <w:tcPr>
            <w:tcW w:w="2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Renasant Bank</w:t>
            </w:r>
          </w:p>
        </w:tc>
      </w:tr>
      <w:tr>
        <w:trPr>
          <w:trHeight w:val="228"/>
        </w:trPr>
        <w:tc>
          <w:tcPr>
            <w:tcW w:w="4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Continental Republic Capital, LLC</w:t>
            </w:r>
          </w:p>
        </w:tc>
        <w:tc>
          <w:tcPr>
            <w:tcW w:w="720" w:type="dxa"/>
            <w:vAlign w:val="bottom"/>
          </w:tcPr>
          <w:p>
            <w:pPr>
              <w:spacing w:after="0"/>
              <w:rPr>
                <w:sz w:val="19"/>
                <w:szCs w:val="19"/>
                <w:color w:val="auto"/>
              </w:rPr>
            </w:pPr>
          </w:p>
        </w:tc>
        <w:tc>
          <w:tcPr>
            <w:tcW w:w="34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5"/>
              </w:rPr>
              <w:t>Louisiana</w:t>
            </w:r>
          </w:p>
        </w:tc>
        <w:tc>
          <w:tcPr>
            <w:tcW w:w="2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Renasant Bank</w:t>
            </w:r>
          </w:p>
        </w:tc>
      </w:tr>
      <w:tr>
        <w:trPr>
          <w:trHeight w:val="444"/>
        </w:trPr>
        <w:tc>
          <w:tcPr>
            <w:tcW w:w="4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PHC Statutory Trust I</w:t>
            </w:r>
          </w:p>
        </w:tc>
        <w:tc>
          <w:tcPr>
            <w:tcW w:w="720" w:type="dxa"/>
            <w:vAlign w:val="bottom"/>
          </w:tcPr>
          <w:p>
            <w:pPr>
              <w:spacing w:after="0"/>
              <w:rPr>
                <w:sz w:val="24"/>
                <w:szCs w:val="24"/>
                <w:color w:val="auto"/>
              </w:rPr>
            </w:pPr>
          </w:p>
        </w:tc>
        <w:tc>
          <w:tcPr>
            <w:tcW w:w="34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6"/>
              </w:rPr>
              <w:t>Connecticut</w:t>
            </w:r>
          </w:p>
        </w:tc>
        <w:tc>
          <w:tcPr>
            <w:tcW w:w="2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Renasant Corporation </w:t>
            </w:r>
            <w:r>
              <w:rPr>
                <w:rFonts w:ascii="Times New Roman" w:cs="Times New Roman" w:eastAsia="Times New Roman" w:hAnsi="Times New Roman"/>
                <w:sz w:val="20"/>
                <w:szCs w:val="20"/>
                <w:b w:val="1"/>
                <w:bCs w:val="1"/>
                <w:color w:val="auto"/>
                <w:vertAlign w:val="superscript"/>
              </w:rPr>
              <w:t>(1)</w:t>
            </w:r>
          </w:p>
        </w:tc>
      </w:tr>
      <w:tr>
        <w:trPr>
          <w:trHeight w:val="566"/>
        </w:trPr>
        <w:tc>
          <w:tcPr>
            <w:tcW w:w="4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PHC Statutory Trust II</w:t>
            </w:r>
          </w:p>
        </w:tc>
        <w:tc>
          <w:tcPr>
            <w:tcW w:w="720" w:type="dxa"/>
            <w:vAlign w:val="bottom"/>
          </w:tcPr>
          <w:p>
            <w:pPr>
              <w:spacing w:after="0"/>
              <w:rPr>
                <w:sz w:val="24"/>
                <w:szCs w:val="24"/>
                <w:color w:val="auto"/>
              </w:rPr>
            </w:pPr>
          </w:p>
        </w:tc>
        <w:tc>
          <w:tcPr>
            <w:tcW w:w="34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8"/>
              </w:rPr>
              <w:t>Delaware</w:t>
            </w:r>
          </w:p>
        </w:tc>
        <w:tc>
          <w:tcPr>
            <w:tcW w:w="2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Renasant Corporation </w:t>
            </w:r>
            <w:r>
              <w:rPr>
                <w:rFonts w:ascii="Times New Roman" w:cs="Times New Roman" w:eastAsia="Times New Roman" w:hAnsi="Times New Roman"/>
                <w:sz w:val="20"/>
                <w:szCs w:val="20"/>
                <w:b w:val="1"/>
                <w:bCs w:val="1"/>
                <w:color w:val="auto"/>
                <w:vertAlign w:val="superscript"/>
              </w:rPr>
              <w:t>(1)</w:t>
            </w:r>
          </w:p>
        </w:tc>
      </w:tr>
      <w:tr>
        <w:trPr>
          <w:trHeight w:val="566"/>
        </w:trPr>
        <w:tc>
          <w:tcPr>
            <w:tcW w:w="4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Capital Bancorp Capital Trust I</w:t>
            </w:r>
          </w:p>
        </w:tc>
        <w:tc>
          <w:tcPr>
            <w:tcW w:w="720" w:type="dxa"/>
            <w:vAlign w:val="bottom"/>
          </w:tcPr>
          <w:p>
            <w:pPr>
              <w:spacing w:after="0"/>
              <w:rPr>
                <w:sz w:val="24"/>
                <w:szCs w:val="24"/>
                <w:color w:val="auto"/>
              </w:rPr>
            </w:pPr>
          </w:p>
        </w:tc>
        <w:tc>
          <w:tcPr>
            <w:tcW w:w="34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8"/>
              </w:rPr>
              <w:t>Delaware</w:t>
            </w:r>
          </w:p>
        </w:tc>
        <w:tc>
          <w:tcPr>
            <w:tcW w:w="2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Renasant Corporation </w:t>
            </w:r>
            <w:r>
              <w:rPr>
                <w:rFonts w:ascii="Times New Roman" w:cs="Times New Roman" w:eastAsia="Times New Roman" w:hAnsi="Times New Roman"/>
                <w:sz w:val="20"/>
                <w:szCs w:val="20"/>
                <w:b w:val="1"/>
                <w:bCs w:val="1"/>
                <w:color w:val="auto"/>
                <w:vertAlign w:val="superscript"/>
              </w:rPr>
              <w:t>(1)</w:t>
            </w:r>
          </w:p>
        </w:tc>
      </w:tr>
      <w:tr>
        <w:trPr>
          <w:trHeight w:val="566"/>
        </w:trPr>
        <w:tc>
          <w:tcPr>
            <w:tcW w:w="4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First M&amp;F Statutory Trust I</w:t>
            </w:r>
          </w:p>
        </w:tc>
        <w:tc>
          <w:tcPr>
            <w:tcW w:w="720" w:type="dxa"/>
            <w:vAlign w:val="bottom"/>
          </w:tcPr>
          <w:p>
            <w:pPr>
              <w:spacing w:after="0"/>
              <w:rPr>
                <w:sz w:val="24"/>
                <w:szCs w:val="24"/>
                <w:color w:val="auto"/>
              </w:rPr>
            </w:pPr>
          </w:p>
        </w:tc>
        <w:tc>
          <w:tcPr>
            <w:tcW w:w="34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8"/>
              </w:rPr>
              <w:t>Delaware</w:t>
            </w:r>
          </w:p>
        </w:tc>
        <w:tc>
          <w:tcPr>
            <w:tcW w:w="2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Renasant Corporation </w:t>
            </w:r>
            <w:r>
              <w:rPr>
                <w:rFonts w:ascii="Times New Roman" w:cs="Times New Roman" w:eastAsia="Times New Roman" w:hAnsi="Times New Roman"/>
                <w:sz w:val="20"/>
                <w:szCs w:val="20"/>
                <w:b w:val="1"/>
                <w:bCs w:val="1"/>
                <w:color w:val="auto"/>
                <w:vertAlign w:val="superscript"/>
              </w:rPr>
              <w:t>(1)</w:t>
            </w:r>
          </w:p>
        </w:tc>
      </w:tr>
      <w:tr>
        <w:trPr>
          <w:trHeight w:val="566"/>
        </w:trPr>
        <w:tc>
          <w:tcPr>
            <w:tcW w:w="4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Brand Group Holdings Statutory Trust I</w:t>
            </w:r>
          </w:p>
        </w:tc>
        <w:tc>
          <w:tcPr>
            <w:tcW w:w="720" w:type="dxa"/>
            <w:vAlign w:val="bottom"/>
          </w:tcPr>
          <w:p>
            <w:pPr>
              <w:spacing w:after="0"/>
              <w:rPr>
                <w:sz w:val="24"/>
                <w:szCs w:val="24"/>
                <w:color w:val="auto"/>
              </w:rPr>
            </w:pPr>
          </w:p>
        </w:tc>
        <w:tc>
          <w:tcPr>
            <w:tcW w:w="34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8"/>
              </w:rPr>
              <w:t>Delaware</w:t>
            </w:r>
          </w:p>
        </w:tc>
        <w:tc>
          <w:tcPr>
            <w:tcW w:w="2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Renasant Corporation </w:t>
            </w:r>
            <w:r>
              <w:rPr>
                <w:rFonts w:ascii="Times New Roman" w:cs="Times New Roman" w:eastAsia="Times New Roman" w:hAnsi="Times New Roman"/>
                <w:sz w:val="20"/>
                <w:szCs w:val="20"/>
                <w:b w:val="1"/>
                <w:bCs w:val="1"/>
                <w:color w:val="auto"/>
                <w:vertAlign w:val="superscript"/>
              </w:rPr>
              <w:t>(1)</w:t>
            </w:r>
          </w:p>
        </w:tc>
      </w:tr>
      <w:tr>
        <w:trPr>
          <w:trHeight w:val="566"/>
        </w:trPr>
        <w:tc>
          <w:tcPr>
            <w:tcW w:w="4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Brand Group Holdings Statutory Trust II</w:t>
            </w:r>
          </w:p>
        </w:tc>
        <w:tc>
          <w:tcPr>
            <w:tcW w:w="720" w:type="dxa"/>
            <w:vAlign w:val="bottom"/>
          </w:tcPr>
          <w:p>
            <w:pPr>
              <w:spacing w:after="0"/>
              <w:rPr>
                <w:sz w:val="24"/>
                <w:szCs w:val="24"/>
                <w:color w:val="auto"/>
              </w:rPr>
            </w:pPr>
          </w:p>
        </w:tc>
        <w:tc>
          <w:tcPr>
            <w:tcW w:w="34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8"/>
              </w:rPr>
              <w:t>Delaware</w:t>
            </w:r>
          </w:p>
        </w:tc>
        <w:tc>
          <w:tcPr>
            <w:tcW w:w="2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Renasant Corporation </w:t>
            </w:r>
            <w:r>
              <w:rPr>
                <w:rFonts w:ascii="Times New Roman" w:cs="Times New Roman" w:eastAsia="Times New Roman" w:hAnsi="Times New Roman"/>
                <w:sz w:val="20"/>
                <w:szCs w:val="20"/>
                <w:b w:val="1"/>
                <w:bCs w:val="1"/>
                <w:color w:val="auto"/>
                <w:vertAlign w:val="superscript"/>
              </w:rPr>
              <w:t>(1)</w:t>
            </w:r>
          </w:p>
        </w:tc>
      </w:tr>
      <w:tr>
        <w:trPr>
          <w:trHeight w:val="566"/>
        </w:trPr>
        <w:tc>
          <w:tcPr>
            <w:tcW w:w="4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Brand Group Holdings Statutory Trust III</w:t>
            </w:r>
          </w:p>
        </w:tc>
        <w:tc>
          <w:tcPr>
            <w:tcW w:w="720" w:type="dxa"/>
            <w:vAlign w:val="bottom"/>
          </w:tcPr>
          <w:p>
            <w:pPr>
              <w:spacing w:after="0"/>
              <w:rPr>
                <w:sz w:val="24"/>
                <w:szCs w:val="24"/>
                <w:color w:val="auto"/>
              </w:rPr>
            </w:pPr>
          </w:p>
        </w:tc>
        <w:tc>
          <w:tcPr>
            <w:tcW w:w="34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8"/>
              </w:rPr>
              <w:t>Delaware</w:t>
            </w:r>
          </w:p>
        </w:tc>
        <w:tc>
          <w:tcPr>
            <w:tcW w:w="2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Renasant Corporation </w:t>
            </w:r>
            <w:r>
              <w:rPr>
                <w:rFonts w:ascii="Times New Roman" w:cs="Times New Roman" w:eastAsia="Times New Roman" w:hAnsi="Times New Roman"/>
                <w:sz w:val="20"/>
                <w:szCs w:val="20"/>
                <w:b w:val="1"/>
                <w:bCs w:val="1"/>
                <w:color w:val="auto"/>
                <w:vertAlign w:val="superscript"/>
              </w:rPr>
              <w:t>(1)</w:t>
            </w:r>
          </w:p>
        </w:tc>
      </w:tr>
      <w:tr>
        <w:trPr>
          <w:trHeight w:val="566"/>
        </w:trPr>
        <w:tc>
          <w:tcPr>
            <w:tcW w:w="4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Brand Group Holdings Statutory Trust IV</w:t>
            </w:r>
          </w:p>
        </w:tc>
        <w:tc>
          <w:tcPr>
            <w:tcW w:w="720" w:type="dxa"/>
            <w:vAlign w:val="bottom"/>
          </w:tcPr>
          <w:p>
            <w:pPr>
              <w:spacing w:after="0"/>
              <w:rPr>
                <w:sz w:val="24"/>
                <w:szCs w:val="24"/>
                <w:color w:val="auto"/>
              </w:rPr>
            </w:pPr>
          </w:p>
        </w:tc>
        <w:tc>
          <w:tcPr>
            <w:tcW w:w="34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8"/>
              </w:rPr>
              <w:t>Delaware</w:t>
            </w:r>
          </w:p>
        </w:tc>
        <w:tc>
          <w:tcPr>
            <w:tcW w:w="2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Renasant Corporation </w:t>
            </w:r>
            <w:r>
              <w:rPr>
                <w:rFonts w:ascii="Times New Roman" w:cs="Times New Roman" w:eastAsia="Times New Roman" w:hAnsi="Times New Roman"/>
                <w:sz w:val="20"/>
                <w:szCs w:val="20"/>
                <w:b w:val="1"/>
                <w:bCs w:val="1"/>
                <w:color w:val="auto"/>
                <w:vertAlign w:val="superscript"/>
              </w:rPr>
              <w:t>(1)</w:t>
            </w:r>
          </w:p>
        </w:tc>
      </w:tr>
      <w:tr>
        <w:trPr>
          <w:trHeight w:val="566"/>
        </w:trPr>
        <w:tc>
          <w:tcPr>
            <w:tcW w:w="4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First Bancshares Statutory Trust II</w:t>
            </w:r>
          </w:p>
        </w:tc>
        <w:tc>
          <w:tcPr>
            <w:tcW w:w="720" w:type="dxa"/>
            <w:vAlign w:val="bottom"/>
          </w:tcPr>
          <w:p>
            <w:pPr>
              <w:spacing w:after="0"/>
              <w:rPr>
                <w:sz w:val="24"/>
                <w:szCs w:val="24"/>
                <w:color w:val="auto"/>
              </w:rPr>
            </w:pPr>
          </w:p>
        </w:tc>
        <w:tc>
          <w:tcPr>
            <w:tcW w:w="34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8"/>
              </w:rPr>
              <w:t>Delaware</w:t>
            </w:r>
          </w:p>
        </w:tc>
        <w:tc>
          <w:tcPr>
            <w:tcW w:w="2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Renasant Corporation </w:t>
            </w:r>
            <w:r>
              <w:rPr>
                <w:rFonts w:ascii="Times New Roman" w:cs="Times New Roman" w:eastAsia="Times New Roman" w:hAnsi="Times New Roman"/>
                <w:sz w:val="20"/>
                <w:szCs w:val="20"/>
                <w:b w:val="1"/>
                <w:bCs w:val="1"/>
                <w:color w:val="auto"/>
                <w:vertAlign w:val="superscript"/>
              </w:rPr>
              <w:t>(1)</w:t>
            </w:r>
          </w:p>
        </w:tc>
      </w:tr>
      <w:tr>
        <w:trPr>
          <w:trHeight w:val="566"/>
        </w:trPr>
        <w:tc>
          <w:tcPr>
            <w:tcW w:w="4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First Bancshares Statutory Trust III</w:t>
            </w:r>
          </w:p>
        </w:tc>
        <w:tc>
          <w:tcPr>
            <w:tcW w:w="720" w:type="dxa"/>
            <w:vAlign w:val="bottom"/>
          </w:tcPr>
          <w:p>
            <w:pPr>
              <w:spacing w:after="0"/>
              <w:rPr>
                <w:sz w:val="24"/>
                <w:szCs w:val="24"/>
                <w:color w:val="auto"/>
              </w:rPr>
            </w:pPr>
          </w:p>
        </w:tc>
        <w:tc>
          <w:tcPr>
            <w:tcW w:w="34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8"/>
              </w:rPr>
              <w:t>Delaware</w:t>
            </w:r>
          </w:p>
        </w:tc>
        <w:tc>
          <w:tcPr>
            <w:tcW w:w="2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Renasant Corporation </w:t>
            </w:r>
            <w:r>
              <w:rPr>
                <w:rFonts w:ascii="Times New Roman" w:cs="Times New Roman" w:eastAsia="Times New Roman" w:hAnsi="Times New Roman"/>
                <w:sz w:val="20"/>
                <w:szCs w:val="20"/>
                <w:b w:val="1"/>
                <w:bCs w:val="1"/>
                <w:color w:val="auto"/>
                <w:vertAlign w:val="superscript"/>
              </w:rPr>
              <w:t>(1)</w:t>
            </w:r>
          </w:p>
        </w:tc>
      </w:tr>
      <w:tr>
        <w:trPr>
          <w:trHeight w:val="566"/>
        </w:trPr>
        <w:tc>
          <w:tcPr>
            <w:tcW w:w="4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FMB Capital Trust I</w:t>
            </w:r>
          </w:p>
        </w:tc>
        <w:tc>
          <w:tcPr>
            <w:tcW w:w="720" w:type="dxa"/>
            <w:vAlign w:val="bottom"/>
          </w:tcPr>
          <w:p>
            <w:pPr>
              <w:spacing w:after="0"/>
              <w:rPr>
                <w:sz w:val="24"/>
                <w:szCs w:val="24"/>
                <w:color w:val="auto"/>
              </w:rPr>
            </w:pPr>
          </w:p>
        </w:tc>
        <w:tc>
          <w:tcPr>
            <w:tcW w:w="34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8"/>
              </w:rPr>
              <w:t>Delaware</w:t>
            </w:r>
          </w:p>
        </w:tc>
        <w:tc>
          <w:tcPr>
            <w:tcW w:w="2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Renasant Corporation </w:t>
            </w:r>
            <w:r>
              <w:rPr>
                <w:rFonts w:ascii="Times New Roman" w:cs="Times New Roman" w:eastAsia="Times New Roman" w:hAnsi="Times New Roman"/>
                <w:sz w:val="20"/>
                <w:szCs w:val="20"/>
                <w:b w:val="1"/>
                <w:bCs w:val="1"/>
                <w:color w:val="auto"/>
                <w:vertAlign w:val="superscript"/>
              </w:rPr>
              <w:t>(1)</w:t>
            </w:r>
          </w:p>
        </w:tc>
      </w:tr>
      <w:tr>
        <w:trPr>
          <w:trHeight w:val="566"/>
        </w:trPr>
        <w:tc>
          <w:tcPr>
            <w:tcW w:w="4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Liberty Shares Statutory Trust II</w:t>
            </w:r>
          </w:p>
        </w:tc>
        <w:tc>
          <w:tcPr>
            <w:tcW w:w="720" w:type="dxa"/>
            <w:vAlign w:val="bottom"/>
          </w:tcPr>
          <w:p>
            <w:pPr>
              <w:spacing w:after="0"/>
              <w:rPr>
                <w:sz w:val="24"/>
                <w:szCs w:val="24"/>
                <w:color w:val="auto"/>
              </w:rPr>
            </w:pPr>
          </w:p>
        </w:tc>
        <w:tc>
          <w:tcPr>
            <w:tcW w:w="34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6"/>
              </w:rPr>
              <w:t>Connecticut</w:t>
            </w:r>
          </w:p>
        </w:tc>
        <w:tc>
          <w:tcPr>
            <w:tcW w:w="2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Renasant Corporation </w:t>
            </w:r>
            <w:r>
              <w:rPr>
                <w:rFonts w:ascii="Times New Roman" w:cs="Times New Roman" w:eastAsia="Times New Roman" w:hAnsi="Times New Roman"/>
                <w:sz w:val="20"/>
                <w:szCs w:val="20"/>
                <w:b w:val="1"/>
                <w:bCs w:val="1"/>
                <w:color w:val="auto"/>
                <w:vertAlign w:val="superscript"/>
              </w:rPr>
              <w:t>(1)</w:t>
            </w:r>
          </w:p>
        </w:tc>
      </w:tr>
    </w:tbl>
    <w:p>
      <w:pPr>
        <w:spacing w:after="0" w:line="200" w:lineRule="exact"/>
        <w:rPr>
          <w:sz w:val="20"/>
          <w:szCs w:val="20"/>
          <w:color w:val="auto"/>
        </w:rPr>
      </w:pPr>
    </w:p>
    <w:p>
      <w:pPr>
        <w:spacing w:after="0" w:line="206" w:lineRule="exact"/>
        <w:rPr>
          <w:sz w:val="20"/>
          <w:szCs w:val="20"/>
          <w:color w:val="auto"/>
        </w:rPr>
      </w:pPr>
    </w:p>
    <w:p>
      <w:pPr>
        <w:ind w:left="155" w:hanging="155"/>
        <w:spacing w:after="0"/>
        <w:tabs>
          <w:tab w:leader="none" w:pos="155" w:val="left"/>
        </w:tabs>
        <w:numPr>
          <w:ilvl w:val="0"/>
          <w:numId w:val="9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Renasant Corporation is the holder of the Trusts’ common securities.</w:t>
      </w:r>
    </w:p>
    <w:p>
      <w:pPr>
        <w:sectPr>
          <w:pgSz w:w="11900" w:h="16838" w:orient="portrait"/>
          <w:cols w:equalWidth="0" w:num="1">
            <w:col w:w="11235"/>
          </w:cols>
          <w:pgMar w:left="325" w:top="869" w:right="3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385"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S-3 (No. 333-284828), Form S-8 (Nos. 333-102152, 333-104445, 333-117987, 333-122514, 333-122515, 333-122951, 333-137037, 333-144185, 333-144694, 333-150355, 333-179973, 333-191023, 333-197555, 333-207620, 333-213050, 333-238480 and 333-252356) and Post-Effective Amendment No. 1 on Form S-8 to Form S-4 (No. 333-281851) of Renasant Corporation (the Company) of our report dated March 2, 2026, relating to the consolidated financial statements, and the effectiveness of the Company’s internal control over financial reporting, which appears in this Annual Report on Form 10-K. Our report on the effectiveness of internal control over financial reporting expresses an adverse opinion on the effectiveness of the Company’s internal control over financial reporting as of December 31, 2025.</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 (formerly HORNE LLP)</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Memphis, Tennessee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2026</w:t>
      </w:r>
    </w:p>
    <w:p>
      <w:pPr>
        <w:sectPr>
          <w:pgSz w:w="11900" w:h="16838" w:orient="portrait"/>
          <w:cols w:equalWidth="0" w:num="1">
            <w:col w:w="11200"/>
          </w:cols>
          <w:pgMar w:left="320" w:top="1382" w:right="37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color w:val="auto"/>
        </w:rPr>
        <w:t>Exhibit (31)(i)</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Kevin D. Chapman, certify that:</w:t>
      </w:r>
    </w:p>
    <w:p>
      <w:pPr>
        <w:spacing w:after="0" w:line="214" w:lineRule="exact"/>
        <w:rPr>
          <w:sz w:val="20"/>
          <w:szCs w:val="20"/>
          <w:color w:val="auto"/>
        </w:rPr>
      </w:pPr>
    </w:p>
    <w:p>
      <w:pPr>
        <w:ind w:left="360" w:hanging="355"/>
        <w:spacing w:after="0"/>
        <w:tabs>
          <w:tab w:leader="none" w:pos="3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2025 of Renasant Corporation;</w:t>
      </w:r>
    </w:p>
    <w:p>
      <w:pPr>
        <w:spacing w:after="0" w:line="214" w:lineRule="exact"/>
        <w:rPr>
          <w:rFonts w:ascii="Times New Roman" w:cs="Times New Roman" w:eastAsia="Times New Roman" w:hAnsi="Times New Roman"/>
          <w:sz w:val="18"/>
          <w:szCs w:val="18"/>
          <w:color w:val="auto"/>
        </w:rPr>
      </w:pPr>
    </w:p>
    <w:p>
      <w:pPr>
        <w:ind w:firstLine="5"/>
        <w:spacing w:after="0" w:line="268" w:lineRule="auto"/>
        <w:tabs>
          <w:tab w:leader="none" w:pos="342"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firstLine="5"/>
        <w:spacing w:after="0" w:line="268" w:lineRule="auto"/>
        <w:tabs>
          <w:tab w:leader="none" w:pos="273"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Times New Roman" w:cs="Times New Roman" w:eastAsia="Times New Roman" w:hAnsi="Times New Roman"/>
          <w:sz w:val="18"/>
          <w:szCs w:val="18"/>
          <w:color w:val="auto"/>
        </w:rPr>
      </w:pPr>
    </w:p>
    <w:p>
      <w:pPr>
        <w:jc w:val="both"/>
        <w:ind w:firstLine="5"/>
        <w:spacing w:after="0" w:line="256" w:lineRule="auto"/>
        <w:tabs>
          <w:tab w:leader="none" w:pos="2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9" w:lineRule="exact"/>
        <w:rPr>
          <w:rFonts w:ascii="Times New Roman" w:cs="Times New Roman" w:eastAsia="Times New Roman" w:hAnsi="Times New Roman"/>
          <w:sz w:val="18"/>
          <w:szCs w:val="18"/>
          <w:color w:val="auto"/>
        </w:rPr>
      </w:pPr>
    </w:p>
    <w:p>
      <w:pPr>
        <w:jc w:val="both"/>
        <w:ind w:left="960" w:hanging="7"/>
        <w:spacing w:after="0" w:line="256" w:lineRule="auto"/>
        <w:tabs>
          <w:tab w:leader="none" w:pos="1148"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960" w:hanging="7"/>
        <w:spacing w:after="0" w:line="256" w:lineRule="auto"/>
        <w:tabs>
          <w:tab w:leader="none" w:pos="1176"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ind w:left="960" w:hanging="7"/>
        <w:spacing w:after="0" w:line="268" w:lineRule="auto"/>
        <w:tabs>
          <w:tab w:leader="none" w:pos="1174"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9" w:lineRule="exact"/>
        <w:rPr>
          <w:rFonts w:ascii="Times New Roman" w:cs="Times New Roman" w:eastAsia="Times New Roman" w:hAnsi="Times New Roman"/>
          <w:sz w:val="18"/>
          <w:szCs w:val="18"/>
          <w:color w:val="auto"/>
        </w:rPr>
      </w:pPr>
    </w:p>
    <w:p>
      <w:pPr>
        <w:jc w:val="both"/>
        <w:ind w:left="960" w:hanging="7"/>
        <w:spacing w:after="0" w:line="256" w:lineRule="auto"/>
        <w:tabs>
          <w:tab w:leader="none" w:pos="1157"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firstLine="5"/>
        <w:spacing w:after="0" w:line="268" w:lineRule="auto"/>
        <w:tabs>
          <w:tab w:leader="none" w:pos="39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9" w:lineRule="exact"/>
        <w:rPr>
          <w:rFonts w:ascii="Times New Roman" w:cs="Times New Roman" w:eastAsia="Times New Roman" w:hAnsi="Times New Roman"/>
          <w:sz w:val="18"/>
          <w:szCs w:val="18"/>
          <w:color w:val="auto"/>
        </w:rPr>
      </w:pPr>
    </w:p>
    <w:p>
      <w:pPr>
        <w:ind w:left="960" w:hanging="7"/>
        <w:spacing w:after="0" w:line="268" w:lineRule="auto"/>
        <w:tabs>
          <w:tab w:leader="none" w:pos="1143"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Times New Roman" w:cs="Times New Roman" w:eastAsia="Times New Roman" w:hAnsi="Times New Roman"/>
          <w:sz w:val="18"/>
          <w:szCs w:val="18"/>
          <w:color w:val="auto"/>
        </w:rPr>
      </w:pPr>
    </w:p>
    <w:p>
      <w:pPr>
        <w:ind w:left="960" w:hanging="7"/>
        <w:spacing w:after="0" w:line="268" w:lineRule="auto"/>
        <w:tabs>
          <w:tab w:leader="none" w:pos="1151"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March 2, 2026</w:t>
            </w:r>
          </w:p>
        </w:tc>
        <w:tc>
          <w:tcPr>
            <w:tcW w:w="4840" w:type="dxa"/>
            <w:vAlign w:val="bottom"/>
          </w:tcPr>
          <w:p>
            <w:pPr>
              <w:ind w:left="4440"/>
              <w:spacing w:after="0"/>
              <w:rPr>
                <w:sz w:val="20"/>
                <w:szCs w:val="20"/>
                <w:color w:val="auto"/>
              </w:rPr>
            </w:pPr>
            <w:r>
              <w:rPr>
                <w:rFonts w:ascii="Times New Roman" w:cs="Times New Roman" w:eastAsia="Times New Roman" w:hAnsi="Times New Roman"/>
                <w:sz w:val="18"/>
                <w:szCs w:val="18"/>
                <w:color w:val="auto"/>
              </w:rPr>
              <w:t>by:</w:t>
            </w:r>
          </w:p>
        </w:tc>
        <w:tc>
          <w:tcPr>
            <w:tcW w:w="3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Kevin D. Chapman</w:t>
            </w:r>
          </w:p>
        </w:tc>
      </w:tr>
      <w:tr>
        <w:trPr>
          <w:trHeight w:val="212"/>
        </w:trPr>
        <w:tc>
          <w:tcPr>
            <w:tcW w:w="6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3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Kevin D. Chapman</w:t>
            </w:r>
          </w:p>
        </w:tc>
      </w:tr>
      <w:tr>
        <w:trPr>
          <w:trHeight w:val="224"/>
        </w:trPr>
        <w:tc>
          <w:tcPr>
            <w:tcW w:w="6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3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 and</w:t>
            </w:r>
          </w:p>
        </w:tc>
      </w:tr>
      <w:tr>
        <w:trPr>
          <w:trHeight w:val="224"/>
        </w:trPr>
        <w:tc>
          <w:tcPr>
            <w:tcW w:w="6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3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Executive Vice Chairman</w:t>
            </w:r>
          </w:p>
        </w:tc>
      </w:tr>
      <w:tr>
        <w:trPr>
          <w:trHeight w:val="228"/>
        </w:trPr>
        <w:tc>
          <w:tcPr>
            <w:tcW w:w="6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3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69" w:right="3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color w:val="auto"/>
        </w:rPr>
        <w:t>Exhibit (31)(ii)</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C. Mabry IV, certify that:</w:t>
      </w:r>
    </w:p>
    <w:p>
      <w:pPr>
        <w:spacing w:after="0" w:line="214" w:lineRule="exact"/>
        <w:rPr>
          <w:sz w:val="20"/>
          <w:szCs w:val="20"/>
          <w:color w:val="auto"/>
        </w:rPr>
      </w:pPr>
    </w:p>
    <w:p>
      <w:pPr>
        <w:ind w:left="360" w:hanging="355"/>
        <w:spacing w:after="0"/>
        <w:tabs>
          <w:tab w:leader="none" w:pos="3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2025 of Renasant Corporation;</w:t>
      </w:r>
    </w:p>
    <w:p>
      <w:pPr>
        <w:spacing w:after="0" w:line="214" w:lineRule="exact"/>
        <w:rPr>
          <w:rFonts w:ascii="Times New Roman" w:cs="Times New Roman" w:eastAsia="Times New Roman" w:hAnsi="Times New Roman"/>
          <w:sz w:val="18"/>
          <w:szCs w:val="18"/>
          <w:color w:val="auto"/>
        </w:rPr>
      </w:pPr>
    </w:p>
    <w:p>
      <w:pPr>
        <w:ind w:firstLine="5"/>
        <w:spacing w:after="0" w:line="268" w:lineRule="auto"/>
        <w:tabs>
          <w:tab w:leader="none" w:pos="342"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firstLine="5"/>
        <w:spacing w:after="0" w:line="268" w:lineRule="auto"/>
        <w:tabs>
          <w:tab w:leader="none" w:pos="273"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Times New Roman" w:cs="Times New Roman" w:eastAsia="Times New Roman" w:hAnsi="Times New Roman"/>
          <w:sz w:val="18"/>
          <w:szCs w:val="18"/>
          <w:color w:val="auto"/>
        </w:rPr>
      </w:pPr>
    </w:p>
    <w:p>
      <w:pPr>
        <w:jc w:val="both"/>
        <w:ind w:firstLine="5"/>
        <w:spacing w:after="0" w:line="256" w:lineRule="auto"/>
        <w:tabs>
          <w:tab w:leader="none" w:pos="28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9" w:lineRule="exact"/>
        <w:rPr>
          <w:rFonts w:ascii="Times New Roman" w:cs="Times New Roman" w:eastAsia="Times New Roman" w:hAnsi="Times New Roman"/>
          <w:sz w:val="18"/>
          <w:szCs w:val="18"/>
          <w:color w:val="auto"/>
        </w:rPr>
      </w:pPr>
    </w:p>
    <w:p>
      <w:pPr>
        <w:jc w:val="both"/>
        <w:ind w:left="960" w:hanging="7"/>
        <w:spacing w:after="0" w:line="256" w:lineRule="auto"/>
        <w:tabs>
          <w:tab w:leader="none" w:pos="1148"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960" w:hanging="7"/>
        <w:spacing w:after="0" w:line="256" w:lineRule="auto"/>
        <w:tabs>
          <w:tab w:leader="none" w:pos="1176"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ind w:left="960" w:hanging="7"/>
        <w:spacing w:after="0" w:line="268" w:lineRule="auto"/>
        <w:tabs>
          <w:tab w:leader="none" w:pos="1174"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9" w:lineRule="exact"/>
        <w:rPr>
          <w:rFonts w:ascii="Times New Roman" w:cs="Times New Roman" w:eastAsia="Times New Roman" w:hAnsi="Times New Roman"/>
          <w:sz w:val="18"/>
          <w:szCs w:val="18"/>
          <w:color w:val="auto"/>
        </w:rPr>
      </w:pPr>
    </w:p>
    <w:p>
      <w:pPr>
        <w:jc w:val="both"/>
        <w:ind w:left="960" w:hanging="7"/>
        <w:spacing w:after="0" w:line="256" w:lineRule="auto"/>
        <w:tabs>
          <w:tab w:leader="none" w:pos="1157"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firstLine="5"/>
        <w:spacing w:after="0" w:line="268" w:lineRule="auto"/>
        <w:tabs>
          <w:tab w:leader="none" w:pos="39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9" w:lineRule="exact"/>
        <w:rPr>
          <w:rFonts w:ascii="Times New Roman" w:cs="Times New Roman" w:eastAsia="Times New Roman" w:hAnsi="Times New Roman"/>
          <w:sz w:val="18"/>
          <w:szCs w:val="18"/>
          <w:color w:val="auto"/>
        </w:rPr>
      </w:pPr>
    </w:p>
    <w:p>
      <w:pPr>
        <w:ind w:left="960" w:hanging="7"/>
        <w:spacing w:after="0" w:line="268" w:lineRule="auto"/>
        <w:tabs>
          <w:tab w:leader="none" w:pos="1143"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Times New Roman" w:cs="Times New Roman" w:eastAsia="Times New Roman" w:hAnsi="Times New Roman"/>
          <w:sz w:val="18"/>
          <w:szCs w:val="18"/>
          <w:color w:val="auto"/>
        </w:rPr>
      </w:pPr>
    </w:p>
    <w:p>
      <w:pPr>
        <w:ind w:left="960" w:hanging="7"/>
        <w:spacing w:after="0" w:line="267" w:lineRule="auto"/>
        <w:tabs>
          <w:tab w:leader="none" w:pos="1151"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tbl>
      <w:tblPr>
        <w:tblLayout w:type="fixed"/>
        <w:tblInd w:w="80" w:type="dxa"/>
        <w:tblCellMar>
          <w:top w:w="0" w:type="dxa"/>
          <w:left w:w="0" w:type="dxa"/>
          <w:bottom w:w="0" w:type="dxa"/>
          <w:right w:w="0" w:type="dxa"/>
        </w:tblCellMar>
      </w:tblPr>
      <w:tr>
        <w:trPr>
          <w:trHeight w:val="22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8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March 2, 2026</w:t>
            </w:r>
          </w:p>
        </w:tc>
        <w:tc>
          <w:tcPr>
            <w:tcW w:w="3780" w:type="dxa"/>
            <w:vAlign w:val="bottom"/>
          </w:tcPr>
          <w:p>
            <w:pPr>
              <w:ind w:left="3400"/>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 James C. Mabry IV</w:t>
            </w:r>
          </w:p>
        </w:tc>
      </w:tr>
      <w:tr>
        <w:trPr>
          <w:trHeight w:val="212"/>
        </w:trPr>
        <w:tc>
          <w:tcPr>
            <w:tcW w:w="5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James C. Mabry IV</w:t>
            </w:r>
          </w:p>
        </w:tc>
      </w:tr>
      <w:tr>
        <w:trPr>
          <w:trHeight w:val="224"/>
        </w:trPr>
        <w:tc>
          <w:tcPr>
            <w:tcW w:w="5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3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Executive Vice President and</w:t>
            </w:r>
          </w:p>
        </w:tc>
      </w:tr>
      <w:tr>
        <w:trPr>
          <w:trHeight w:val="224"/>
        </w:trPr>
        <w:tc>
          <w:tcPr>
            <w:tcW w:w="5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3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8"/>
        </w:trPr>
        <w:tc>
          <w:tcPr>
            <w:tcW w:w="5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3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869" w:right="3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color w:val="auto"/>
        </w:rPr>
        <w:t>Exhibit (32)(i)</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Annual Report on Form 10-K of Renasant Corporation (the “Company”) for the period ended December 31, 2025 as filed with the Securities and Exchange Commission on the date hereof (the “Report”), I, C. Mitchell Waycaster, Chief Executive Officer of the Company, certify pursuant to 18 U.S.C. Section 1350, as adopted pursuant to Section 906 of the Sarbanes-Oxley Act of 2002, that:</w:t>
      </w:r>
    </w:p>
    <w:p>
      <w:pPr>
        <w:spacing w:after="0" w:line="180" w:lineRule="exact"/>
        <w:rPr>
          <w:sz w:val="20"/>
          <w:szCs w:val="20"/>
          <w:color w:val="auto"/>
        </w:rPr>
      </w:pPr>
    </w:p>
    <w:p>
      <w:pPr>
        <w:ind w:left="1120" w:hanging="246"/>
        <w:spacing w:after="0"/>
        <w:tabs>
          <w:tab w:leader="none" w:pos="11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14" w:lineRule="exact"/>
        <w:rPr>
          <w:rFonts w:ascii="Times New Roman" w:cs="Times New Roman" w:eastAsia="Times New Roman" w:hAnsi="Times New Roman"/>
          <w:sz w:val="18"/>
          <w:szCs w:val="18"/>
          <w:color w:val="auto"/>
        </w:rPr>
      </w:pPr>
    </w:p>
    <w:p>
      <w:pPr>
        <w:ind w:left="1120" w:hanging="246"/>
        <w:spacing w:after="0"/>
        <w:tabs>
          <w:tab w:leader="none" w:pos="112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 of the Company.</w:t>
      </w: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1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March 2, 2026</w:t>
            </w:r>
          </w:p>
        </w:tc>
        <w:tc>
          <w:tcPr>
            <w:tcW w:w="4760" w:type="dxa"/>
            <w:vAlign w:val="bottom"/>
          </w:tcPr>
          <w:p>
            <w:pPr>
              <w:ind w:left="4360"/>
              <w:spacing w:after="0"/>
              <w:rPr>
                <w:sz w:val="20"/>
                <w:szCs w:val="20"/>
                <w:color w:val="auto"/>
              </w:rPr>
            </w:pPr>
            <w:r>
              <w:rPr>
                <w:rFonts w:ascii="Times New Roman" w:cs="Times New Roman" w:eastAsia="Times New Roman" w:hAnsi="Times New Roman"/>
                <w:sz w:val="18"/>
                <w:szCs w:val="18"/>
                <w:color w:val="auto"/>
              </w:rPr>
              <w:t>by:</w:t>
            </w:r>
          </w:p>
        </w:tc>
        <w:tc>
          <w:tcPr>
            <w:tcW w:w="3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Kevin D. Chapman</w:t>
            </w:r>
          </w:p>
        </w:tc>
      </w:tr>
      <w:tr>
        <w:trPr>
          <w:trHeight w:val="212"/>
        </w:trPr>
        <w:tc>
          <w:tcPr>
            <w:tcW w:w="5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Kevin D. Chapman</w:t>
            </w:r>
          </w:p>
        </w:tc>
      </w:tr>
      <w:tr>
        <w:trPr>
          <w:trHeight w:val="224"/>
        </w:trPr>
        <w:tc>
          <w:tcPr>
            <w:tcW w:w="5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24"/>
        </w:trPr>
        <w:tc>
          <w:tcPr>
            <w:tcW w:w="5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and Executive Vice Chairman</w:t>
            </w:r>
          </w:p>
        </w:tc>
      </w:tr>
      <w:tr>
        <w:trPr>
          <w:trHeight w:val="228"/>
        </w:trPr>
        <w:tc>
          <w:tcPr>
            <w:tcW w:w="5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69" w:right="3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color w:val="auto"/>
        </w:rPr>
        <w:t>Exhibit (32)(ii)</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Annual Report on Form 10-K of Renasant Corporation (the “Company”) for the period ended December 31, 2025 as filed with the Securities and Exchange Commission on the date hereof (the “Report”), I, James C. Mabry IV, Chief Financial Officer of the Company, certify pursuant to 18 U.S.C. Section 1350, as adopted pursuant to Section 906 of the Sarbanes-Oxley Act of 2002, that:</w:t>
      </w:r>
    </w:p>
    <w:p>
      <w:pPr>
        <w:spacing w:after="0" w:line="180" w:lineRule="exact"/>
        <w:rPr>
          <w:sz w:val="20"/>
          <w:szCs w:val="20"/>
          <w:color w:val="auto"/>
        </w:rPr>
      </w:pPr>
    </w:p>
    <w:p>
      <w:pPr>
        <w:ind w:left="1120" w:hanging="246"/>
        <w:spacing w:after="0"/>
        <w:tabs>
          <w:tab w:leader="none" w:pos="11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14" w:lineRule="exact"/>
        <w:rPr>
          <w:rFonts w:ascii="Times New Roman" w:cs="Times New Roman" w:eastAsia="Times New Roman" w:hAnsi="Times New Roman"/>
          <w:sz w:val="18"/>
          <w:szCs w:val="18"/>
          <w:color w:val="auto"/>
        </w:rPr>
      </w:pPr>
    </w:p>
    <w:p>
      <w:pPr>
        <w:ind w:left="1120" w:hanging="246"/>
        <w:spacing w:after="0"/>
        <w:tabs>
          <w:tab w:leader="none" w:pos="112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 of the Company.</w:t>
      </w: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March 2, 2026</w:t>
            </w:r>
          </w:p>
        </w:tc>
        <w:tc>
          <w:tcPr>
            <w:tcW w:w="3860" w:type="dxa"/>
            <w:vAlign w:val="bottom"/>
          </w:tcPr>
          <w:p>
            <w:pPr>
              <w:ind w:left="3460"/>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 James C. Mabry IV</w:t>
            </w:r>
          </w:p>
        </w:tc>
      </w:tr>
      <w:tr>
        <w:trPr>
          <w:trHeight w:val="212"/>
        </w:trPr>
        <w:tc>
          <w:tcPr>
            <w:tcW w:w="6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James C. Mabry IV</w:t>
            </w:r>
          </w:p>
        </w:tc>
      </w:tr>
      <w:tr>
        <w:trPr>
          <w:trHeight w:val="224"/>
        </w:trPr>
        <w:tc>
          <w:tcPr>
            <w:tcW w:w="6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3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Executive Vice President and</w:t>
            </w:r>
          </w:p>
        </w:tc>
      </w:tr>
      <w:tr>
        <w:trPr>
          <w:trHeight w:val="224"/>
        </w:trPr>
        <w:tc>
          <w:tcPr>
            <w:tcW w:w="6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3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8"/>
        </w:trPr>
        <w:tc>
          <w:tcPr>
            <w:tcW w:w="6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3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C6C33A"/>
    <w:multiLevelType w:val="hybridMultilevel"/>
    <w:lvl w:ilvl="0">
      <w:lvlJc w:val="left"/>
      <w:lvlText w:val="☒"/>
      <w:numFmt w:val="bullet"/>
      <w:start w:val="1"/>
    </w:lvl>
  </w:abstractNum>
  <w:abstractNum w:abstractNumId="1">
    <w:nsid w:val="12E685FB"/>
    <w:multiLevelType w:val="hybridMultilevel"/>
    <w:lvl w:ilvl="0">
      <w:lvlJc w:val="left"/>
      <w:lvlText w:val="☐"/>
      <w:numFmt w:val="bullet"/>
      <w:start w:val="1"/>
    </w:lvl>
  </w:abstractNum>
  <w:abstractNum w:abstractNumId="2">
    <w:nsid w:val="70C6A529"/>
    <w:multiLevelType w:val="hybridMultilevel"/>
    <w:lvl w:ilvl="0">
      <w:lvlJc w:val="left"/>
      <w:lvlText w:val="•"/>
      <w:numFmt w:val="bullet"/>
      <w:start w:val="1"/>
    </w:lvl>
  </w:abstractNum>
  <w:abstractNum w:abstractNumId="3">
    <w:nsid w:val="520EEDD1"/>
    <w:multiLevelType w:val="hybridMultilevel"/>
    <w:lvl w:ilvl="0">
      <w:lvlJc w:val="left"/>
      <w:lvlText w:val="•"/>
      <w:numFmt w:val="bullet"/>
      <w:start w:val="1"/>
    </w:lvl>
  </w:abstractNum>
  <w:abstractNum w:abstractNumId="4">
    <w:nsid w:val="374A3FE6"/>
    <w:multiLevelType w:val="hybridMultilevel"/>
    <w:lvl w:ilvl="0">
      <w:lvlJc w:val="left"/>
      <w:lvlText w:val="\emdash "/>
      <w:numFmt w:val="bullet"/>
      <w:start w:val="1"/>
    </w:lvl>
  </w:abstractNum>
  <w:abstractNum w:abstractNumId="5">
    <w:nsid w:val="4F4EF005"/>
    <w:multiLevelType w:val="hybridMultilevel"/>
    <w:lvl w:ilvl="0">
      <w:lvlJc w:val="left"/>
      <w:lvlText w:val="\emdash "/>
      <w:numFmt w:val="bullet"/>
      <w:start w:val="1"/>
    </w:lvl>
  </w:abstractNum>
  <w:abstractNum w:abstractNumId="6">
    <w:nsid w:val="23F9C13C"/>
    <w:multiLevelType w:val="hybridMultilevel"/>
    <w:lvl w:ilvl="0">
      <w:lvlJc w:val="left"/>
      <w:lvlText w:val="\emdash "/>
      <w:numFmt w:val="bullet"/>
      <w:start w:val="1"/>
    </w:lvl>
  </w:abstractNum>
  <w:abstractNum w:abstractNumId="7">
    <w:nsid w:val="649BB77C"/>
    <w:multiLevelType w:val="hybridMultilevel"/>
    <w:lvl w:ilvl="0">
      <w:lvlJc w:val="left"/>
      <w:lvlText w:val="\emdash "/>
      <w:numFmt w:val="bullet"/>
      <w:start w:val="1"/>
    </w:lvl>
  </w:abstractNum>
  <w:abstractNum w:abstractNumId="8">
    <w:nsid w:val="275AC794"/>
    <w:multiLevelType w:val="hybridMultilevel"/>
    <w:lvl w:ilvl="0">
      <w:lvlJc w:val="left"/>
      <w:lvlText w:val="\emdash "/>
      <w:numFmt w:val="bullet"/>
      <w:start w:val="1"/>
    </w:lvl>
  </w:abstractNum>
  <w:abstractNum w:abstractNumId="9">
    <w:nsid w:val="39386575"/>
    <w:multiLevelType w:val="hybridMultilevel"/>
    <w:lvl w:ilvl="0">
      <w:lvlJc w:val="left"/>
      <w:lvlText w:val="(%1)"/>
      <w:numFmt w:val="decimal"/>
      <w:start w:val="1"/>
    </w:lvl>
  </w:abstractNum>
  <w:abstractNum w:abstractNumId="10">
    <w:nsid w:val="1CF10FD8"/>
    <w:multiLevelType w:val="hybridMultilevel"/>
    <w:lvl w:ilvl="0">
      <w:lvlJc w:val="left"/>
      <w:lvlText w:val="(%1)"/>
      <w:numFmt w:val="decimal"/>
      <w:start w:val="4"/>
    </w:lvl>
  </w:abstractNum>
  <w:abstractNum w:abstractNumId="11">
    <w:nsid w:val="180115BE"/>
    <w:multiLevelType w:val="hybridMultilevel"/>
    <w:lvl w:ilvl="0">
      <w:lvlJc w:val="left"/>
      <w:lvlText w:val="\emdash "/>
      <w:numFmt w:val="bullet"/>
      <w:start w:val="1"/>
    </w:lvl>
  </w:abstractNum>
  <w:abstractNum w:abstractNumId="12">
    <w:nsid w:val="235BA861"/>
    <w:multiLevelType w:val="hybridMultilevel"/>
    <w:lvl w:ilvl="0">
      <w:lvlJc w:val="left"/>
      <w:lvlText w:val="•"/>
      <w:numFmt w:val="bullet"/>
      <w:start w:val="1"/>
    </w:lvl>
  </w:abstractNum>
  <w:abstractNum w:abstractNumId="13">
    <w:nsid w:val="47398C89"/>
    <w:multiLevelType w:val="hybridMultilevel"/>
    <w:lvl w:ilvl="0">
      <w:lvlJc w:val="left"/>
      <w:lvlText w:val="•"/>
      <w:numFmt w:val="bullet"/>
      <w:start w:val="1"/>
    </w:lvl>
  </w:abstractNum>
  <w:abstractNum w:abstractNumId="14">
    <w:nsid w:val="354FE9F9"/>
    <w:multiLevelType w:val="hybridMultilevel"/>
    <w:lvl w:ilvl="0">
      <w:lvlJc w:val="left"/>
      <w:lvlText w:val="•"/>
      <w:numFmt w:val="bullet"/>
      <w:start w:val="1"/>
    </w:lvl>
  </w:abstractNum>
  <w:abstractNum w:abstractNumId="15">
    <w:nsid w:val="15B5AF5C"/>
    <w:multiLevelType w:val="hybridMultilevel"/>
    <w:lvl w:ilvl="0">
      <w:lvlJc w:val="left"/>
      <w:lvlText w:val="•"/>
      <w:numFmt w:val="bullet"/>
      <w:start w:val="1"/>
    </w:lvl>
  </w:abstractNum>
  <w:abstractNum w:abstractNumId="16">
    <w:nsid w:val="741226BB"/>
    <w:multiLevelType w:val="hybridMultilevel"/>
    <w:lvl w:ilvl="0">
      <w:lvlJc w:val="left"/>
      <w:lvlText w:val="•"/>
      <w:numFmt w:val="bullet"/>
      <w:start w:val="1"/>
    </w:lvl>
  </w:abstractNum>
  <w:abstractNum w:abstractNumId="17">
    <w:nsid w:val="D34B6A8"/>
    <w:multiLevelType w:val="hybridMultilevel"/>
    <w:lvl w:ilvl="0">
      <w:lvlJc w:val="left"/>
      <w:lvlText w:val="•"/>
      <w:numFmt w:val="bullet"/>
      <w:start w:val="1"/>
    </w:lvl>
  </w:abstractNum>
  <w:abstractNum w:abstractNumId="18">
    <w:nsid w:val="10233C99"/>
    <w:multiLevelType w:val="hybridMultilevel"/>
    <w:lvl w:ilvl="0">
      <w:lvlJc w:val="left"/>
      <w:lvlText w:val="(%1)"/>
      <w:numFmt w:val="decimal"/>
      <w:start w:val="1"/>
    </w:lvl>
  </w:abstractNum>
  <w:abstractNum w:abstractNumId="19">
    <w:nsid w:val="3F6AB60F"/>
    <w:multiLevelType w:val="hybridMultilevel"/>
    <w:lvl w:ilvl="0">
      <w:lvlJc w:val="left"/>
      <w:lvlText w:val="(%1)"/>
      <w:numFmt w:val="decimal"/>
      <w:start w:val="1"/>
    </w:lvl>
  </w:abstractNum>
  <w:abstractNum w:abstractNumId="20">
    <w:nsid w:val="61574095"/>
    <w:multiLevelType w:val="hybridMultilevel"/>
    <w:lvl w:ilvl="0">
      <w:lvlJc w:val="left"/>
      <w:lvlText w:val="\emdash "/>
      <w:numFmt w:val="bullet"/>
      <w:start w:val="1"/>
    </w:lvl>
  </w:abstractNum>
  <w:abstractNum w:abstractNumId="21">
    <w:nsid w:val="7E0C57B1"/>
    <w:multiLevelType w:val="hybridMultilevel"/>
    <w:lvl w:ilvl="0">
      <w:lvlJc w:val="left"/>
      <w:lvlText w:val="(%1)"/>
      <w:numFmt w:val="decimal"/>
      <w:start w:val="1"/>
    </w:lvl>
  </w:abstractNum>
  <w:abstractNum w:abstractNumId="22">
    <w:nsid w:val="77AE35EB"/>
    <w:multiLevelType w:val="hybridMultilevel"/>
    <w:lvl w:ilvl="0">
      <w:lvlJc w:val="left"/>
      <w:lvlText w:val="(%1)"/>
      <w:numFmt w:val="decimal"/>
      <w:start w:val="1"/>
    </w:lvl>
  </w:abstractNum>
  <w:abstractNum w:abstractNumId="23">
    <w:nsid w:val="579BE4F1"/>
    <w:multiLevelType w:val="hybridMultilevel"/>
    <w:lvl w:ilvl="0">
      <w:lvlJc w:val="left"/>
      <w:lvlText w:val="(%1)"/>
      <w:numFmt w:val="decimal"/>
      <w:start w:val="1"/>
    </w:lvl>
  </w:abstractNum>
  <w:abstractNum w:abstractNumId="24">
    <w:nsid w:val="310C50B3"/>
    <w:multiLevelType w:val="hybridMultilevel"/>
    <w:lvl w:ilvl="0">
      <w:lvlJc w:val="left"/>
      <w:lvlText w:val="(%1)"/>
      <w:numFmt w:val="decimal"/>
      <w:start w:val="1"/>
    </w:lvl>
  </w:abstractNum>
  <w:abstractNum w:abstractNumId="25">
    <w:nsid w:val="5FF87E05"/>
    <w:multiLevelType w:val="hybridMultilevel"/>
    <w:lvl w:ilvl="0">
      <w:lvlJc w:val="left"/>
      <w:lvlText w:val="•"/>
      <w:numFmt w:val="bullet"/>
      <w:start w:val="1"/>
    </w:lvl>
  </w:abstractNum>
  <w:abstractNum w:abstractNumId="26">
    <w:nsid w:val="2F305DEF"/>
    <w:multiLevelType w:val="hybridMultilevel"/>
    <w:lvl w:ilvl="0">
      <w:lvlJc w:val="left"/>
      <w:lvlText w:val="•"/>
      <w:numFmt w:val="bullet"/>
      <w:start w:val="1"/>
    </w:lvl>
  </w:abstractNum>
  <w:abstractNum w:abstractNumId="27">
    <w:nsid w:val="25A70BF7"/>
    <w:multiLevelType w:val="hybridMultilevel"/>
    <w:lvl w:ilvl="0">
      <w:lvlJc w:val="left"/>
      <w:lvlText w:val="-"/>
      <w:numFmt w:val="bullet"/>
      <w:start w:val="1"/>
    </w:lvl>
  </w:abstractNum>
  <w:abstractNum w:abstractNumId="28">
    <w:nsid w:val="1DBABF00"/>
    <w:multiLevelType w:val="hybridMultilevel"/>
    <w:lvl w:ilvl="0">
      <w:lvlJc w:val="left"/>
      <w:lvlText w:val="-"/>
      <w:numFmt w:val="bullet"/>
      <w:start w:val="1"/>
    </w:lvl>
  </w:abstractNum>
  <w:abstractNum w:abstractNumId="29">
    <w:nsid w:val="4AD084E9"/>
    <w:multiLevelType w:val="hybridMultilevel"/>
    <w:lvl w:ilvl="0">
      <w:lvlJc w:val="left"/>
      <w:lvlText w:val="-"/>
      <w:numFmt w:val="bullet"/>
      <w:start w:val="1"/>
    </w:lvl>
  </w:abstractNum>
  <w:abstractNum w:abstractNumId="30">
    <w:nsid w:val="1F48EAA1"/>
    <w:multiLevelType w:val="hybridMultilevel"/>
    <w:lvl w:ilvl="0">
      <w:lvlJc w:val="left"/>
      <w:lvlText w:val="-"/>
      <w:numFmt w:val="bullet"/>
      <w:start w:val="1"/>
    </w:lvl>
  </w:abstractNum>
  <w:abstractNum w:abstractNumId="31">
    <w:nsid w:val="1381823A"/>
    <w:multiLevelType w:val="hybridMultilevel"/>
    <w:lvl w:ilvl="0">
      <w:lvlJc w:val="left"/>
      <w:lvlText w:val="-"/>
      <w:numFmt w:val="bullet"/>
      <w:start w:val="1"/>
    </w:lvl>
  </w:abstractNum>
  <w:abstractNum w:abstractNumId="32">
    <w:nsid w:val="5DB70AE5"/>
    <w:multiLevelType w:val="hybridMultilevel"/>
    <w:lvl w:ilvl="0">
      <w:lvlJc w:val="left"/>
      <w:lvlText w:val="(%1)"/>
      <w:numFmt w:val="decimal"/>
      <w:start w:val="1"/>
    </w:lvl>
  </w:abstractNum>
  <w:abstractNum w:abstractNumId="33">
    <w:nsid w:val="100F8FCA"/>
    <w:multiLevelType w:val="hybridMultilevel"/>
    <w:lvl w:ilvl="0">
      <w:lvlJc w:val="left"/>
      <w:lvlText w:val="(%1)"/>
      <w:numFmt w:val="decimal"/>
      <w:start w:val="1"/>
    </w:lvl>
  </w:abstractNum>
  <w:abstractNum w:abstractNumId="34">
    <w:nsid w:val="6590700B"/>
    <w:multiLevelType w:val="hybridMultilevel"/>
    <w:lvl w:ilvl="0">
      <w:lvlJc w:val="left"/>
      <w:lvlText w:val="%1)"/>
      <w:numFmt w:val="decimal"/>
      <w:start w:val="79"/>
    </w:lvl>
  </w:abstractNum>
  <w:abstractNum w:abstractNumId="35">
    <w:nsid w:val="15014ACB"/>
    <w:multiLevelType w:val="hybridMultilevel"/>
    <w:lvl w:ilvl="0">
      <w:lvlJc w:val="left"/>
      <w:lvlText w:val="(%1)"/>
      <w:numFmt w:val="decimal"/>
      <w:start w:val="1"/>
    </w:lvl>
  </w:abstractNum>
  <w:abstractNum w:abstractNumId="36">
    <w:nsid w:val="5F5E7FD0"/>
    <w:multiLevelType w:val="hybridMultilevel"/>
    <w:lvl w:ilvl="0">
      <w:lvlJc w:val="left"/>
      <w:lvlText w:val="(%1)"/>
      <w:numFmt w:val="decimal"/>
      <w:start w:val="1"/>
    </w:lvl>
  </w:abstractNum>
  <w:abstractNum w:abstractNumId="37">
    <w:nsid w:val="98A3148"/>
    <w:multiLevelType w:val="hybridMultilevel"/>
    <w:lvl w:ilvl="0">
      <w:lvlJc w:val="left"/>
      <w:lvlText w:val="•"/>
      <w:numFmt w:val="bullet"/>
      <w:start w:val="1"/>
    </w:lvl>
  </w:abstractNum>
  <w:abstractNum w:abstractNumId="38">
    <w:nsid w:val="799D0247"/>
    <w:multiLevelType w:val="hybridMultilevel"/>
    <w:lvl w:ilvl="0">
      <w:lvlJc w:val="left"/>
      <w:lvlText w:val="•"/>
      <w:numFmt w:val="bullet"/>
      <w:start w:val="1"/>
    </w:lvl>
  </w:abstractNum>
  <w:abstractNum w:abstractNumId="39">
    <w:nsid w:val="6B94764"/>
    <w:multiLevelType w:val="hybridMultilevel"/>
    <w:lvl w:ilvl="0">
      <w:lvlJc w:val="left"/>
      <w:lvlText w:val="(%1)"/>
      <w:numFmt w:val="decimal"/>
      <w:start w:val="1"/>
    </w:lvl>
  </w:abstractNum>
  <w:abstractNum w:abstractNumId="40">
    <w:nsid w:val="42C296BD"/>
    <w:multiLevelType w:val="hybridMultilevel"/>
    <w:lvl w:ilvl="0">
      <w:lvlJc w:val="left"/>
      <w:lvlText w:val="•"/>
      <w:numFmt w:val="bullet"/>
      <w:start w:val="1"/>
    </w:lvl>
  </w:abstractNum>
  <w:abstractNum w:abstractNumId="41">
    <w:nsid w:val="168E121F"/>
    <w:multiLevelType w:val="hybridMultilevel"/>
    <w:lvl w:ilvl="0">
      <w:lvlJc w:val="left"/>
      <w:lvlText w:val="•"/>
      <w:numFmt w:val="bullet"/>
      <w:start w:val="1"/>
    </w:lvl>
  </w:abstractNum>
  <w:abstractNum w:abstractNumId="42">
    <w:nsid w:val="1EBA5D23"/>
    <w:multiLevelType w:val="hybridMultilevel"/>
    <w:lvl w:ilvl="0">
      <w:lvlJc w:val="left"/>
      <w:lvlText w:val="(%1)"/>
      <w:numFmt w:val="decimal"/>
      <w:start w:val="1"/>
    </w:lvl>
  </w:abstractNum>
  <w:abstractNum w:abstractNumId="43">
    <w:nsid w:val="661E3F1E"/>
    <w:multiLevelType w:val="hybridMultilevel"/>
    <w:lvl w:ilvl="0">
      <w:lvlJc w:val="left"/>
      <w:lvlText w:val="(%1)"/>
      <w:numFmt w:val="lowerRoman"/>
      <w:start w:val="1"/>
    </w:lvl>
  </w:abstractNum>
  <w:abstractNum w:abstractNumId="44">
    <w:nsid w:val="5DC79EA8"/>
    <w:multiLevelType w:val="hybridMultilevel"/>
    <w:lvl w:ilvl="0">
      <w:lvlJc w:val="left"/>
      <w:lvlText w:val="(%1)"/>
      <w:numFmt w:val="lowerRoman"/>
      <w:start w:val="2"/>
    </w:lvl>
  </w:abstractNum>
  <w:abstractNum w:abstractNumId="45">
    <w:nsid w:val="540A471C"/>
    <w:multiLevelType w:val="hybridMultilevel"/>
    <w:lvl w:ilvl="0">
      <w:lvlJc w:val="left"/>
      <w:lvlText w:val="(%1)"/>
      <w:numFmt w:val="lowerRoman"/>
      <w:start w:val="3"/>
    </w:lvl>
  </w:abstractNum>
  <w:abstractNum w:abstractNumId="46">
    <w:nsid w:val="7BD3EE7B"/>
    <w:multiLevelType w:val="hybridMultilevel"/>
    <w:lvl w:ilvl="0">
      <w:lvlJc w:val="left"/>
      <w:lvlText w:val="(%1)"/>
      <w:numFmt w:val="lowerRoman"/>
      <w:start w:val="5"/>
    </w:lvl>
  </w:abstractNum>
  <w:abstractNum w:abstractNumId="47">
    <w:nsid w:val="51D9C564"/>
    <w:multiLevelType w:val="hybridMultilevel"/>
    <w:lvl w:ilvl="0">
      <w:lvlJc w:val="left"/>
      <w:lvlText w:val="(%1)"/>
      <w:numFmt w:val="lowerRoman"/>
      <w:start w:val="6"/>
    </w:lvl>
  </w:abstractNum>
  <w:abstractNum w:abstractNumId="48">
    <w:nsid w:val="613EFDC5"/>
    <w:multiLevelType w:val="hybridMultilevel"/>
    <w:lvl w:ilvl="0">
      <w:lvlJc w:val="left"/>
      <w:lvlText w:val="(%1)"/>
      <w:numFmt w:val="lowerRoman"/>
      <w:start w:val="7"/>
    </w:lvl>
  </w:abstractNum>
  <w:abstractNum w:abstractNumId="49">
    <w:nsid w:val="BF72B14"/>
    <w:multiLevelType w:val="hybridMultilevel"/>
    <w:lvl w:ilvl="0">
      <w:lvlJc w:val="left"/>
      <w:lvlText w:val="%1"/>
      <w:numFmt w:val="lowerLetter"/>
      <w:start w:val="1"/>
    </w:lvl>
    <w:lvl w:ilvl="1">
      <w:lvlJc w:val="left"/>
      <w:lvlText w:val="(%2)"/>
      <w:numFmt w:val="lowerRoman"/>
      <w:start w:val="8"/>
    </w:lvl>
  </w:abstractNum>
  <w:abstractNum w:abstractNumId="50">
    <w:nsid w:val="11447B73"/>
    <w:multiLevelType w:val="hybridMultilevel"/>
    <w:lvl w:ilvl="0">
      <w:lvlJc w:val="left"/>
      <w:lvlText w:val="(%1)"/>
      <w:numFmt w:val="lowerLetter"/>
      <w:start w:val="1"/>
    </w:lvl>
    <w:lvl w:ilvl="1">
      <w:lvlJc w:val="left"/>
      <w:lvlText w:val="%2"/>
      <w:numFmt w:val="lowerRoman"/>
      <w:start w:val="1"/>
    </w:lvl>
  </w:abstractNum>
  <w:abstractNum w:abstractNumId="51">
    <w:nsid w:val="42963E5A"/>
    <w:multiLevelType w:val="hybridMultilevel"/>
    <w:lvl w:ilvl="0">
      <w:lvlJc w:val="left"/>
      <w:lvlText w:val="(%1)"/>
      <w:numFmt w:val="decimal"/>
      <w:start w:val="16"/>
    </w:lvl>
  </w:abstractNum>
  <w:abstractNum w:abstractNumId="52">
    <w:nsid w:val="A0382C5"/>
    <w:multiLevelType w:val="hybridMultilevel"/>
    <w:lvl w:ilvl="0">
      <w:lvlJc w:val="left"/>
      <w:lvlText w:val="(%1)"/>
      <w:numFmt w:val="decimal"/>
      <w:start w:val="19"/>
    </w:lvl>
  </w:abstractNum>
  <w:abstractNum w:abstractNumId="53">
    <w:nsid w:val="8F2B15E"/>
    <w:multiLevelType w:val="hybridMultilevel"/>
    <w:lvl w:ilvl="0">
      <w:lvlJc w:val="left"/>
      <w:lvlText w:val="(%1)"/>
      <w:numFmt w:val="decimal"/>
      <w:start w:val="21"/>
    </w:lvl>
  </w:abstractNum>
  <w:abstractNum w:abstractNumId="54">
    <w:nsid w:val="1A32234B"/>
    <w:multiLevelType w:val="hybridMultilevel"/>
    <w:lvl w:ilvl="0">
      <w:lvlJc w:val="left"/>
      <w:lvlText w:val="(%1)"/>
      <w:numFmt w:val="decimal"/>
      <w:start w:val="23"/>
    </w:lvl>
  </w:abstractNum>
  <w:abstractNum w:abstractNumId="55">
    <w:nsid w:val="3B0FD379"/>
    <w:multiLevelType w:val="hybridMultilevel"/>
    <w:lvl w:ilvl="0">
      <w:lvlJc w:val="left"/>
      <w:lvlText w:val="(%1)"/>
      <w:numFmt w:val="decimal"/>
      <w:start w:val="97"/>
    </w:lvl>
  </w:abstractNum>
  <w:abstractNum w:abstractNumId="56">
    <w:nsid w:val="68EB2F63"/>
    <w:multiLevelType w:val="hybridMultilevel"/>
    <w:lvl w:ilvl="0">
      <w:lvlJc w:val="left"/>
      <w:lvlText w:val="(%1)"/>
      <w:numFmt w:val="decimal"/>
      <w:start w:val="101"/>
    </w:lvl>
  </w:abstractNum>
  <w:abstractNum w:abstractNumId="57">
    <w:nsid w:val="4962813B"/>
    <w:multiLevelType w:val="hybridMultilevel"/>
    <w:lvl w:ilvl="0">
      <w:lvlJc w:val="left"/>
      <w:lvlText w:val="*"/>
      <w:numFmt w:val="bullet"/>
      <w:start w:val="1"/>
    </w:lvl>
    <w:lvl w:ilvl="1">
      <w:lvlJc w:val="left"/>
      <w:lvlText w:val="(%2)"/>
      <w:numFmt w:val="decimal"/>
      <w:start w:val="104"/>
    </w:lvl>
  </w:abstractNum>
  <w:abstractNum w:abstractNumId="58">
    <w:nsid w:val="60B6DF70"/>
    <w:multiLevelType w:val="hybridMultilevel"/>
    <w:lvl w:ilvl="0">
      <w:lvlJc w:val="left"/>
      <w:lvlText w:val="%1."/>
      <w:numFmt w:val="decimal"/>
      <w:start w:val="1"/>
    </w:lvl>
  </w:abstractNum>
  <w:abstractNum w:abstractNumId="59">
    <w:nsid w:val="6A5EE64"/>
    <w:multiLevelType w:val="hybridMultilevel"/>
    <w:lvl w:ilvl="0">
      <w:lvlJc w:val="left"/>
      <w:lvlText w:val="%1."/>
      <w:numFmt w:val="decimal"/>
      <w:start w:val="5"/>
    </w:lvl>
  </w:abstractNum>
  <w:abstractNum w:abstractNumId="60">
    <w:nsid w:val="14330624"/>
    <w:multiLevelType w:val="hybridMultilevel"/>
    <w:lvl w:ilvl="0">
      <w:lvlJc w:val="left"/>
      <w:lvlText w:val="%1."/>
      <w:numFmt w:val="decimal"/>
      <w:start w:val="7"/>
    </w:lvl>
    <w:lvl w:ilvl="1">
      <w:lvlJc w:val="left"/>
      <w:lvlText w:val="%2."/>
      <w:numFmt w:val="lowerLetter"/>
      <w:start w:val="1"/>
    </w:lvl>
  </w:abstractNum>
  <w:abstractNum w:abstractNumId="61">
    <w:nsid w:val="7FFFCA11"/>
    <w:multiLevelType w:val="hybridMultilevel"/>
    <w:lvl w:ilvl="0">
      <w:lvlJc w:val="left"/>
      <w:lvlText w:val="%1."/>
      <w:numFmt w:val="decimal"/>
      <w:start w:val="1"/>
    </w:lvl>
  </w:abstractNum>
  <w:abstractNum w:abstractNumId="62">
    <w:nsid w:val="1A27709E"/>
    <w:multiLevelType w:val="hybridMultilevel"/>
    <w:lvl w:ilvl="0">
      <w:lvlJc w:val="left"/>
      <w:lvlText w:val="(%1)"/>
      <w:numFmt w:val="lowerRoman"/>
      <w:start w:val="5"/>
    </w:lvl>
  </w:abstractNum>
  <w:abstractNum w:abstractNumId="63">
    <w:nsid w:val="71EA1109"/>
    <w:multiLevelType w:val="hybridMultilevel"/>
    <w:lvl w:ilvl="0">
      <w:lvlJc w:val="left"/>
      <w:lvlText w:val="%1."/>
      <w:numFmt w:val="decimal"/>
      <w:start w:val="2"/>
    </w:lvl>
    <w:lvl w:ilvl="1">
      <w:lvlJc w:val="left"/>
      <w:lvlText w:val="%2."/>
      <w:numFmt w:val="lowerRoman"/>
      <w:start w:val="1"/>
    </w:lvl>
  </w:abstractNum>
  <w:abstractNum w:abstractNumId="64">
    <w:nsid w:val="100F59DC"/>
    <w:multiLevelType w:val="hybridMultilevel"/>
    <w:lvl w:ilvl="0">
      <w:lvlJc w:val="left"/>
      <w:lvlText w:val="%1."/>
      <w:numFmt w:val="decimal"/>
      <w:start w:val="5"/>
    </w:lvl>
  </w:abstractNum>
  <w:abstractNum w:abstractNumId="65">
    <w:nsid w:val="7FB7E0AA"/>
    <w:multiLevelType w:val="hybridMultilevel"/>
    <w:lvl w:ilvl="0">
      <w:lvlJc w:val="left"/>
      <w:lvlText w:val="%1."/>
      <w:numFmt w:val="decimal"/>
      <w:start w:val="1"/>
    </w:lvl>
  </w:abstractNum>
  <w:abstractNum w:abstractNumId="66">
    <w:nsid w:val="6EB5BD4"/>
    <w:multiLevelType w:val="hybridMultilevel"/>
    <w:lvl w:ilvl="0">
      <w:lvlJc w:val="left"/>
      <w:lvlText w:val="%1."/>
      <w:numFmt w:val="decimal"/>
      <w:start w:val="5"/>
    </w:lvl>
    <w:lvl w:ilvl="1">
      <w:lvlJc w:val="left"/>
      <w:lvlText w:val="%2."/>
      <w:numFmt w:val="lowerLetter"/>
      <w:start w:val="1"/>
    </w:lvl>
  </w:abstractNum>
  <w:abstractNum w:abstractNumId="67">
    <w:nsid w:val="6F6DD9AC"/>
    <w:multiLevelType w:val="hybridMultilevel"/>
    <w:lvl w:ilvl="0">
      <w:lvlJc w:val="left"/>
      <w:lvlText w:val="%1."/>
      <w:numFmt w:val="decimal"/>
      <w:start w:val="7"/>
    </w:lvl>
    <w:lvl w:ilvl="1">
      <w:lvlJc w:val="left"/>
      <w:lvlText w:val="%2."/>
      <w:numFmt w:val="lowerLetter"/>
      <w:start w:val="1"/>
    </w:lvl>
  </w:abstractNum>
  <w:abstractNum w:abstractNumId="68">
    <w:nsid w:val="94211F2"/>
    <w:multiLevelType w:val="hybridMultilevel"/>
    <w:lvl w:ilvl="0">
      <w:lvlJc w:val="left"/>
      <w:lvlText w:val="%1."/>
      <w:numFmt w:val="lowerLetter"/>
      <w:start w:val="3"/>
    </w:lvl>
  </w:abstractNum>
  <w:abstractNum w:abstractNumId="69">
    <w:nsid w:val="885E1B"/>
    <w:multiLevelType w:val="hybridMultilevel"/>
    <w:lvl w:ilvl="0">
      <w:lvlJc w:val="left"/>
      <w:lvlText w:val="%1."/>
      <w:numFmt w:val="decimal"/>
      <w:start w:val="1"/>
    </w:lvl>
  </w:abstractNum>
  <w:abstractNum w:abstractNumId="70">
    <w:nsid w:val="76272110"/>
    <w:multiLevelType w:val="hybridMultilevel"/>
    <w:lvl w:ilvl="0">
      <w:lvlJc w:val="left"/>
      <w:lvlText w:val="(%1)"/>
      <w:numFmt w:val="lowerRoman"/>
      <w:start w:val="5"/>
    </w:lvl>
  </w:abstractNum>
  <w:abstractNum w:abstractNumId="71">
    <w:nsid w:val="4C04A8AF"/>
    <w:multiLevelType w:val="hybridMultilevel"/>
    <w:lvl w:ilvl="0">
      <w:lvlJc w:val="left"/>
      <w:lvlText w:val="%1."/>
      <w:numFmt w:val="decimal"/>
      <w:start w:val="2"/>
    </w:lvl>
    <w:lvl w:ilvl="1">
      <w:lvlJc w:val="left"/>
      <w:lvlText w:val="%2."/>
      <w:numFmt w:val="lowerRoman"/>
      <w:start w:val="1"/>
    </w:lvl>
  </w:abstractNum>
  <w:abstractNum w:abstractNumId="72">
    <w:nsid w:val="1716703B"/>
    <w:multiLevelType w:val="hybridMultilevel"/>
    <w:lvl w:ilvl="0">
      <w:lvlJc w:val="left"/>
      <w:lvlText w:val="%1."/>
      <w:numFmt w:val="decimal"/>
      <w:start w:val="5"/>
    </w:lvl>
  </w:abstractNum>
  <w:abstractNum w:abstractNumId="73">
    <w:nsid w:val="14E17E33"/>
    <w:multiLevelType w:val="hybridMultilevel"/>
    <w:lvl w:ilvl="0">
      <w:lvlJc w:val="left"/>
      <w:lvlText w:val="%1."/>
      <w:numFmt w:val="lowerLetter"/>
      <w:start w:val="1"/>
    </w:lvl>
  </w:abstractNum>
  <w:abstractNum w:abstractNumId="74">
    <w:nsid w:val="3222E7CD"/>
    <w:multiLevelType w:val="hybridMultilevel"/>
    <w:lvl w:ilvl="0">
      <w:lvlJc w:val="left"/>
      <w:lvlText w:val="%1."/>
      <w:numFmt w:val="lowerLetter"/>
      <w:start w:val="1"/>
    </w:lvl>
  </w:abstractNum>
  <w:abstractNum w:abstractNumId="75">
    <w:nsid w:val="74DE0EE3"/>
    <w:multiLevelType w:val="hybridMultilevel"/>
    <w:lvl w:ilvl="0">
      <w:lvlJc w:val="left"/>
      <w:lvlText w:val="%1."/>
      <w:numFmt w:val="lowerLetter"/>
      <w:start w:val="3"/>
    </w:lvl>
  </w:abstractNum>
  <w:abstractNum w:abstractNumId="76">
    <w:nsid w:val="68EBC550"/>
    <w:multiLevelType w:val="hybridMultilevel"/>
    <w:lvl w:ilvl="0">
      <w:lvlJc w:val="left"/>
      <w:lvlText w:val="%1."/>
      <w:numFmt w:val="lowerLetter"/>
      <w:start w:val="1"/>
    </w:lvl>
  </w:abstractNum>
  <w:abstractNum w:abstractNumId="77">
    <w:nsid w:val="2DF6D648"/>
    <w:multiLevelType w:val="hybridMultilevel"/>
    <w:lvl w:ilvl="0">
      <w:lvlJc w:val="left"/>
      <w:lvlText w:val="%1."/>
      <w:numFmt w:val="lowerLetter"/>
      <w:start w:val="1"/>
    </w:lvl>
  </w:abstractNum>
  <w:abstractNum w:abstractNumId="78">
    <w:nsid w:val="46B7D447"/>
    <w:multiLevelType w:val="hybridMultilevel"/>
    <w:lvl w:ilvl="0">
      <w:lvlJc w:val="left"/>
      <w:lvlText w:val="%1."/>
      <w:numFmt w:val="lowerLetter"/>
      <w:start w:val="1"/>
    </w:lvl>
  </w:abstractNum>
  <w:abstractNum w:abstractNumId="79">
    <w:nsid w:val="4A2AC315"/>
    <w:multiLevelType w:val="hybridMultilevel"/>
    <w:lvl w:ilvl="0">
      <w:lvlJc w:val="left"/>
      <w:lvlText w:val="%1."/>
      <w:numFmt w:val="lowerLetter"/>
      <w:start w:val="2"/>
    </w:lvl>
  </w:abstractNum>
  <w:abstractNum w:abstractNumId="80">
    <w:nsid w:val="39EE015C"/>
    <w:multiLevelType w:val="hybridMultilevel"/>
    <w:lvl w:ilvl="0">
      <w:lvlJc w:val="left"/>
      <w:lvlText w:val="%1."/>
      <w:numFmt w:val="lowerLetter"/>
      <w:start w:val="1"/>
    </w:lvl>
  </w:abstractNum>
  <w:abstractNum w:abstractNumId="81">
    <w:nsid w:val="57FC4FBB"/>
    <w:multiLevelType w:val="hybridMultilevel"/>
    <w:lvl w:ilvl="0">
      <w:lvlJc w:val="left"/>
      <w:lvlText w:val="%1."/>
      <w:numFmt w:val="lowerLetter"/>
      <w:start w:val="1"/>
    </w:lvl>
  </w:abstractNum>
  <w:abstractNum w:abstractNumId="82">
    <w:nsid w:val="CC1016F"/>
    <w:multiLevelType w:val="hybridMultilevel"/>
    <w:lvl w:ilvl="0">
      <w:lvlJc w:val="left"/>
      <w:lvlText w:val="(%1)"/>
      <w:numFmt w:val="lowerLetter"/>
      <w:start w:val="1"/>
    </w:lvl>
  </w:abstractNum>
  <w:abstractNum w:abstractNumId="83">
    <w:nsid w:val="43F18422"/>
    <w:multiLevelType w:val="hybridMultilevel"/>
    <w:lvl w:ilvl="0">
      <w:lvlJc w:val="left"/>
      <w:lvlText w:val="(%1)"/>
      <w:numFmt w:val="lowerLetter"/>
      <w:start w:val="5"/>
    </w:lvl>
  </w:abstractNum>
  <w:abstractNum w:abstractNumId="84">
    <w:nsid w:val="60EF0119"/>
    <w:multiLevelType w:val="hybridMultilevel"/>
    <w:lvl w:ilvl="0">
      <w:lvlJc w:val="left"/>
      <w:lvlText w:val="%1."/>
      <w:numFmt w:val="lowerLetter"/>
      <w:start w:val="1"/>
    </w:lvl>
  </w:abstractNum>
  <w:abstractNum w:abstractNumId="85">
    <w:nsid w:val="26F324BA"/>
    <w:multiLevelType w:val="hybridMultilevel"/>
    <w:lvl w:ilvl="0">
      <w:lvlJc w:val="left"/>
      <w:lvlText w:val="%1."/>
      <w:numFmt w:val="decimal"/>
      <w:start w:val="1"/>
    </w:lvl>
    <w:lvl w:ilvl="1">
      <w:lvlJc w:val="left"/>
      <w:lvlText w:val="%2."/>
      <w:numFmt w:val="lowerLetter"/>
      <w:start w:val="1"/>
    </w:lvl>
  </w:abstractNum>
  <w:abstractNum w:abstractNumId="86">
    <w:nsid w:val="7F01579B"/>
    <w:multiLevelType w:val="hybridMultilevel"/>
    <w:lvl w:ilvl="0">
      <w:lvlJc w:val="left"/>
      <w:lvlText w:val="%1"/>
      <w:numFmt w:val="decimal"/>
      <w:start w:val="1"/>
    </w:lvl>
    <w:lvl w:ilvl="1">
      <w:lvlJc w:val="left"/>
      <w:lvlText w:val="%2."/>
      <w:numFmt w:val="lowerLetter"/>
      <w:start w:val="5"/>
    </w:lvl>
  </w:abstractNum>
  <w:abstractNum w:abstractNumId="87">
    <w:nsid w:val="49DA307D"/>
    <w:multiLevelType w:val="hybridMultilevel"/>
    <w:lvl w:ilvl="0">
      <w:lvlJc w:val="left"/>
      <w:lvlText w:val="%1."/>
      <w:numFmt w:val="decimal"/>
      <w:start w:val="2"/>
    </w:lvl>
    <w:lvl w:ilvl="1">
      <w:lvlJc w:val="left"/>
      <w:lvlText w:val="%2"/>
      <w:numFmt w:val="lowerLetter"/>
      <w:start w:val="1"/>
    </w:lvl>
  </w:abstractNum>
  <w:abstractNum w:abstractNumId="88">
    <w:nsid w:val="7055A5F5"/>
    <w:multiLevelType w:val="hybridMultilevel"/>
    <w:lvl w:ilvl="0">
      <w:lvlJc w:val="left"/>
      <w:lvlText w:val="%1."/>
      <w:numFmt w:val="lowerLetter"/>
      <w:start w:val="1"/>
    </w:lvl>
  </w:abstractNum>
  <w:abstractNum w:abstractNumId="89">
    <w:nsid w:val="5FB8370B"/>
    <w:multiLevelType w:val="hybridMultilevel"/>
    <w:lvl w:ilvl="0">
      <w:lvlJc w:val="left"/>
      <w:lvlText w:val="%1"/>
      <w:numFmt w:val="decimal"/>
      <w:start w:val="1"/>
    </w:lvl>
    <w:lvl w:ilvl="1">
      <w:lvlJc w:val="left"/>
      <w:lvlText w:val="%2."/>
      <w:numFmt w:val="decimal"/>
      <w:start w:val="3"/>
    </w:lvl>
  </w:abstractNum>
  <w:abstractNum w:abstractNumId="90">
    <w:nsid w:val="50801EE1"/>
    <w:multiLevelType w:val="hybridMultilevel"/>
    <w:lvl w:ilvl="0">
      <w:lvlJc w:val="left"/>
      <w:lvlText w:val="%1."/>
      <w:numFmt w:val="decimal"/>
      <w:start w:val="4"/>
    </w:lvl>
    <w:lvl w:ilvl="1">
      <w:lvlJc w:val="left"/>
      <w:lvlText w:val="%2"/>
      <w:numFmt w:val="decimal"/>
      <w:start w:val="1"/>
    </w:lvl>
  </w:abstractNum>
  <w:abstractNum w:abstractNumId="91">
    <w:nsid w:val="488AC1A"/>
    <w:multiLevelType w:val="hybridMultilevel"/>
    <w:lvl w:ilvl="0">
      <w:lvlJc w:val="left"/>
      <w:lvlText w:val="%1"/>
      <w:numFmt w:val="decimal"/>
      <w:start w:val="1"/>
    </w:lvl>
    <w:lvl w:ilvl="1">
      <w:lvlJc w:val="left"/>
      <w:lvlText w:val="%2."/>
      <w:numFmt w:val="decimal"/>
      <w:start w:val="6"/>
    </w:lvl>
  </w:abstractNum>
  <w:abstractNum w:abstractNumId="92">
    <w:nsid w:val="5FB8011C"/>
    <w:multiLevelType w:val="hybridMultilevel"/>
    <w:lvl w:ilvl="0">
      <w:lvlJc w:val="left"/>
      <w:lvlText w:val="%1."/>
      <w:numFmt w:val="decimal"/>
      <w:start w:val="7"/>
    </w:lvl>
    <w:lvl w:ilvl="1">
      <w:lvlJc w:val="left"/>
      <w:lvlText w:val="%2"/>
      <w:numFmt w:val="decimal"/>
      <w:start w:val="1"/>
    </w:lvl>
  </w:abstractNum>
  <w:abstractNum w:abstractNumId="93">
    <w:nsid w:val="6AA78F7F"/>
    <w:multiLevelType w:val="hybridMultilevel"/>
    <w:lvl w:ilvl="0">
      <w:lvlJc w:val="left"/>
      <w:lvlText w:val="%1."/>
      <w:numFmt w:val="decimal"/>
      <w:start w:val="1"/>
    </w:lvl>
    <w:lvl w:ilvl="1">
      <w:lvlJc w:val="left"/>
      <w:lvlText w:val="(%2)"/>
      <w:numFmt w:val="lowerLetter"/>
      <w:start w:val="1"/>
    </w:lvl>
  </w:abstractNum>
  <w:abstractNum w:abstractNumId="94">
    <w:nsid w:val="7672BD23"/>
    <w:multiLevelType w:val="hybridMultilevel"/>
    <w:lvl w:ilvl="0">
      <w:lvlJc w:val="left"/>
      <w:lvlText w:val="%1."/>
      <w:numFmt w:val="decimal"/>
      <w:start w:val="1"/>
    </w:lvl>
  </w:abstractNum>
  <w:abstractNum w:abstractNumId="95">
    <w:nsid w:val="6FC75AF8"/>
    <w:multiLevelType w:val="hybridMultilevel"/>
    <w:lvl w:ilvl="0">
      <w:lvlJc w:val="left"/>
      <w:lvlText w:val="%1."/>
      <w:numFmt w:val="decimal"/>
      <w:start w:val="3"/>
    </w:lvl>
  </w:abstractNum>
  <w:abstractNum w:abstractNumId="96">
    <w:nsid w:val="6A5F7029"/>
    <w:multiLevelType w:val="hybridMultilevel"/>
    <w:lvl w:ilvl="0">
      <w:lvlJc w:val="left"/>
      <w:lvlText w:val="%1."/>
      <w:numFmt w:val="lowerLetter"/>
      <w:start w:val="3"/>
    </w:lvl>
  </w:abstractNum>
  <w:abstractNum w:abstractNumId="97">
    <w:nsid w:val="7D5E18F8"/>
    <w:multiLevelType w:val="hybridMultilevel"/>
    <w:lvl w:ilvl="0">
      <w:lvlJc w:val="left"/>
      <w:lvlText w:val="(%1)"/>
      <w:numFmt w:val="lowerLetter"/>
      <w:start w:val="2"/>
    </w:lvl>
  </w:abstractNum>
  <w:abstractNum w:abstractNumId="98">
    <w:nsid w:val="5F3534A4"/>
    <w:multiLevelType w:val="hybridMultilevel"/>
    <w:lvl w:ilvl="0">
      <w:lvlJc w:val="left"/>
      <w:lvlText w:val="(%1)"/>
      <w:numFmt w:val="decimal"/>
      <w:start w:val="1"/>
    </w:lvl>
  </w:abstractNum>
  <w:abstractNum w:abstractNumId="99">
    <w:nsid w:val="73A1821B"/>
    <w:multiLevelType w:val="hybridMultilevel"/>
    <w:lvl w:ilvl="0">
      <w:lvlJc w:val="left"/>
      <w:lvlText w:val="%1."/>
      <w:numFmt w:val="decimal"/>
      <w:start w:val="1"/>
    </w:lvl>
    <w:lvl w:ilvl="1">
      <w:lvlJc w:val="left"/>
      <w:lvlText w:val="%2)"/>
      <w:numFmt w:val="lowerLetter"/>
      <w:start w:val="1"/>
    </w:lvl>
  </w:abstractNum>
  <w:abstractNum w:abstractNumId="100">
    <w:nsid w:val="7DE67713"/>
    <w:multiLevelType w:val="hybridMultilevel"/>
    <w:lvl w:ilvl="0">
      <w:lvlJc w:val="left"/>
      <w:lvlText w:val="%1."/>
      <w:numFmt w:val="decimal"/>
      <w:start w:val="1"/>
    </w:lvl>
    <w:lvl w:ilvl="1">
      <w:lvlJc w:val="left"/>
      <w:lvlText w:val="%2)"/>
      <w:numFmt w:val="lowerLetter"/>
      <w:start w:val="1"/>
    </w:lvl>
  </w:abstractNum>
  <w:abstractNum w:abstractNumId="101">
    <w:nsid w:val="555C55B5"/>
    <w:multiLevelType w:val="hybridMultilevel"/>
    <w:lvl w:ilvl="0">
      <w:lvlJc w:val="left"/>
      <w:lvlText w:val="(%1)"/>
      <w:numFmt w:val="decimal"/>
      <w:start w:val="1"/>
    </w:lvl>
  </w:abstractNum>
  <w:abstractNum w:abstractNumId="102">
    <w:nsid w:val="3FA62AC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87" Type="http://schemas.openxmlformats.org/officeDocument/2006/relationships/image" Target="media/image171.png"/><Relationship Id="rId202" Type="http://schemas.openxmlformats.org/officeDocument/2006/relationships/image" Target="media/image172.png"/><Relationship Id="rId221" Type="http://schemas.openxmlformats.org/officeDocument/2006/relationships/image" Target="media/image173.png"/><Relationship Id="rId237" Type="http://schemas.openxmlformats.org/officeDocument/2006/relationships/image" Target="media/image174.png"/><Relationship Id="rId239" Type="http://schemas.openxmlformats.org/officeDocument/2006/relationships/image" Target="media/image175.png"/><Relationship Id="rId240" Type="http://schemas.openxmlformats.org/officeDocument/2006/relationships/image" Target="media/image176.png"/><Relationship Id="rId241" Type="http://schemas.openxmlformats.org/officeDocument/2006/relationships/image" Target="media/image177.png"/><Relationship Id="rId242" Type="http://schemas.openxmlformats.org/officeDocument/2006/relationships/image" Target="media/image178.png"/><Relationship Id="rId243" Type="http://schemas.openxmlformats.org/officeDocument/2006/relationships/image" Target="media/image179.png"/><Relationship Id="rId244" Type="http://schemas.openxmlformats.org/officeDocument/2006/relationships/image" Target="media/image180.png"/><Relationship Id="rId245" Type="http://schemas.openxmlformats.org/officeDocument/2006/relationships/image" Target="media/image181.png"/><Relationship Id="rId246" Type="http://schemas.openxmlformats.org/officeDocument/2006/relationships/image" Target="media/image182.png"/><Relationship Id="rId247" Type="http://schemas.openxmlformats.org/officeDocument/2006/relationships/image" Target="media/image183.png"/><Relationship Id="rId178" Type="http://schemas.openxmlformats.org/officeDocument/2006/relationships/hyperlink" Target="https://www.sec.gov/Archives/edgar/data/715072/000119312524187608/d860233dex21.htm" TargetMode="External"/><Relationship Id="rId179" Type="http://schemas.openxmlformats.org/officeDocument/2006/relationships/hyperlink" Target="https://www.sec.gov/Archives/edgar/data/715072/000071507225000211/ex31restatedarticlesofin.htm" TargetMode="External"/><Relationship Id="rId180" Type="http://schemas.openxmlformats.org/officeDocument/2006/relationships/hyperlink" Target="https://www.sec.gov/Archives/edgar/data/715072/000071507224000179/exhibit3ii_amendedandresta.htm" TargetMode="External"/><Relationship Id="rId181" Type="http://schemas.openxmlformats.org/officeDocument/2006/relationships/hyperlink" Target="https://www.sec.gov/Archives/edgar/data/715072/000119312516687445/d240854dex41.htm" TargetMode="External"/><Relationship Id="rId182" Type="http://schemas.openxmlformats.org/officeDocument/2006/relationships/hyperlink" Target="https://www.sec.gov/Archives/edgar/data/715072/000119312516687445/d240854dex42.htm" TargetMode="External"/><Relationship Id="rId183" Type="http://schemas.openxmlformats.org/officeDocument/2006/relationships/hyperlink" Target="https://www.sec.gov/Archives/edgar/data/715072/000119312516687445/d240854dex43.htm" TargetMode="External"/><Relationship Id="rId184" Type="http://schemas.openxmlformats.org/officeDocument/2006/relationships/hyperlink" Target="https://www.sec.gov/Archives/edgar/data/715072/000119312520238959/d937775dex42.htm" TargetMode="External"/><Relationship Id="rId185" Type="http://schemas.openxmlformats.org/officeDocument/2006/relationships/hyperlink" Target="https://www.sec.gov/Archives/edgar/data/715072/000119312521340141/d255963dex43.htm" TargetMode="External"/><Relationship Id="rId186" Type="http://schemas.openxmlformats.org/officeDocument/2006/relationships/hyperlink" Target="https://www.sec.gov/Archives/edgar/data/715072/000119312521338512/d242176dex42.htm" TargetMode="External"/><Relationship Id="rId188" Type="http://schemas.openxmlformats.org/officeDocument/2006/relationships/hyperlink" Target="https://www.sec.gov/Archives/edgar/data/715072/000071507225000123/exhibit41.htm" TargetMode="External"/><Relationship Id="rId189" Type="http://schemas.openxmlformats.org/officeDocument/2006/relationships/hyperlink" Target="https://www.sec.gov/Archives/edgar/data/715072/000071507225000123/exhibit42.htm" TargetMode="External"/><Relationship Id="rId190" Type="http://schemas.openxmlformats.org/officeDocument/2006/relationships/hyperlink" Target="https://www.sec.gov/Archives/edgar/data/715072/000071507225000123/ex43fmbtrust-supplementali.htm" TargetMode="External"/><Relationship Id="rId191" Type="http://schemas.openxmlformats.org/officeDocument/2006/relationships/hyperlink" Target="https://www.sec.gov/Archives/edgar/data/715072/000071507225000123/exhibit44.htm" TargetMode="External"/><Relationship Id="rId192" Type="http://schemas.openxmlformats.org/officeDocument/2006/relationships/hyperlink" Target="https://www.sec.gov/Archives/edgar/data/715072/000071507225000123/exhibit45.htm" TargetMode="External"/><Relationship Id="rId193" Type="http://schemas.openxmlformats.org/officeDocument/2006/relationships/hyperlink" Target="https://www.sec.gov/Archives/edgar/data/715072/000071507225000123/exhibit46.htm" TargetMode="External"/><Relationship Id="rId194" Type="http://schemas.openxmlformats.org/officeDocument/2006/relationships/hyperlink" Target="https://www.sec.gov/Archives/edgar/data/715072/000071507225000123/ex47libertytrust-supplemen.htm" TargetMode="External"/><Relationship Id="rId195" Type="http://schemas.openxmlformats.org/officeDocument/2006/relationships/hyperlink" Target="https://www.sec.gov/Archives/edgar/data/715072/000071507225000123/exhibit48.htm" TargetMode="External"/><Relationship Id="rId196" Type="http://schemas.openxmlformats.org/officeDocument/2006/relationships/hyperlink" Target="https://www.sec.gov/Archives/edgar/data/715072/000071507225000123/ex49fbmstrust2-supplementa.htm" TargetMode="External"/><Relationship Id="rId197" Type="http://schemas.openxmlformats.org/officeDocument/2006/relationships/hyperlink" Target="https://www.sec.gov/Archives/edgar/data/715072/000071507225000123/exhibit410.htm" TargetMode="External"/><Relationship Id="rId198" Type="http://schemas.openxmlformats.org/officeDocument/2006/relationships/hyperlink" Target="https://www.sec.gov/Archives/edgar/data/715072/000071507225000123/ex411fbmstrust3-supplement.htm" TargetMode="External"/><Relationship Id="rId199" Type="http://schemas.openxmlformats.org/officeDocument/2006/relationships/hyperlink" Target="https://www.sec.gov/Archives/edgar/data/715072/000071507225000123/ex412_indenture.htm" TargetMode="External"/><Relationship Id="rId200" Type="http://schemas.openxmlformats.org/officeDocument/2006/relationships/hyperlink" Target="https://www.sec.gov/Archives/edgar/data/715072/000071507225000123/ex4132030notes-supplementa.htm" TargetMode="External"/><Relationship Id="rId201" Type="http://schemas.openxmlformats.org/officeDocument/2006/relationships/hyperlink" Target="https://www.sec.gov/Archives/edgar/data/715072/000071507225000123/ex414_formofsubdebtnote.htm" TargetMode="External"/><Relationship Id="rId203" Type="http://schemas.openxmlformats.org/officeDocument/2006/relationships/hyperlink" Target="https://www.sec.gov/Archives/edgar/data/715072/000071507225000123/ex415_subnotepurchaseagree.htm" TargetMode="External"/><Relationship Id="rId204" Type="http://schemas.openxmlformats.org/officeDocument/2006/relationships/hyperlink" Target="https://www.sec.gov/Archives/edgar/data/715072/000071507224000155/descriptionofcommonstock-e.htm" TargetMode="External"/><Relationship Id="rId205" Type="http://schemas.openxmlformats.org/officeDocument/2006/relationships/hyperlink" Target="https://www.sec.gov/Archives/edgar/data/715072/000071507202000025/phcdsuplan.txt" TargetMode="External"/><Relationship Id="rId206" Type="http://schemas.openxmlformats.org/officeDocument/2006/relationships/hyperlink" Target="https://www.sec.gov/Archives/edgar/data/715072/000071507202000025/exhibit44dsuamend.txt" TargetMode="External"/><Relationship Id="rId207" Type="http://schemas.openxmlformats.org/officeDocument/2006/relationships/hyperlink" Target="https://www.sec.gov/Archives/edgar/data/715072/000119312506148615/dex992.htm" TargetMode="External"/><Relationship Id="rId208" Type="http://schemas.openxmlformats.org/officeDocument/2006/relationships/hyperlink" Target="https://www.sec.gov/Archives/edgar/data/715072/000119312507146957/dex991.htm" TargetMode="External"/><Relationship Id="rId209" Type="http://schemas.openxmlformats.org/officeDocument/2006/relationships/hyperlink" Target="https://www.sec.gov/Archives/edgar/data/715072/000119312509031395/dex102.htm" TargetMode="External"/><Relationship Id="rId210" Type="http://schemas.openxmlformats.org/officeDocument/2006/relationships/hyperlink" Target="https://www.sec.gov/Archives/edgar/data/715072/000119312512020433/d287188dex991.htm" TargetMode="External"/><Relationship Id="rId211" Type="http://schemas.openxmlformats.org/officeDocument/2006/relationships/hyperlink" Target="https://www.sec.gov/Archives/edgar/data/715072/000071507220000252/exh101-amendmentno5tothere.htm" TargetMode="External"/><Relationship Id="rId212" Type="http://schemas.openxmlformats.org/officeDocument/2006/relationships/hyperlink" Target="https://www.sec.gov/Archives/edgar/data/715072/000071507224000130/exhibit101-pbrp.htm" TargetMode="External"/><Relationship Id="rId213" Type="http://schemas.openxmlformats.org/officeDocument/2006/relationships/hyperlink" Target="https://www.sec.gov/Archives/edgar/data/715072/000119312507002233/dex991.htm" TargetMode="External"/><Relationship Id="rId214" Type="http://schemas.openxmlformats.org/officeDocument/2006/relationships/hyperlink" Target="https://www.sec.gov/Archives/edgar/data/715072/000119312509031395/dex103.htm" TargetMode="External"/><Relationship Id="rId215" Type="http://schemas.openxmlformats.org/officeDocument/2006/relationships/hyperlink" Target="https://www.sec.gov/Archives/edgar/data/715072/000071507217000017/rnst12312016exhibit101_exe.htm" TargetMode="External"/><Relationship Id="rId216" Type="http://schemas.openxmlformats.org/officeDocument/2006/relationships/hyperlink" Target="https://www.sec.gov/Archives/edgar/data/715072/000119312507002233/dex992.htm" TargetMode="External"/><Relationship Id="rId217" Type="http://schemas.openxmlformats.org/officeDocument/2006/relationships/hyperlink" Target="https://www.sec.gov/Archives/edgar/data/715072/000119312509031395/dex104.htm" TargetMode="External"/><Relationship Id="rId218" Type="http://schemas.openxmlformats.org/officeDocument/2006/relationships/hyperlink" Target="https://www.sec.gov/Archives/edgar/data/715072/000071507217000017/rnst12312016exhibit102_dir.htm" TargetMode="External"/><Relationship Id="rId219" Type="http://schemas.openxmlformats.org/officeDocument/2006/relationships/hyperlink" Target="https://www.sec.gov/Archives/edgar/data/715072/000119312509031395/dex105.htm" TargetMode="External"/><Relationship Id="rId220" Type="http://schemas.openxmlformats.org/officeDocument/2006/relationships/hyperlink" Target="https://www.sec.gov/Archives/edgar/data/715072/000071507216000084/exempagreementchapman.htm" TargetMode="External"/><Relationship Id="rId222" Type="http://schemas.openxmlformats.org/officeDocument/2006/relationships/hyperlink" Target="https://www.sec.gov/Archives/edgar/data/715072/000071507218000070/rnst12312017exhibit102chap.htm" TargetMode="External"/><Relationship Id="rId223" Type="http://schemas.openxmlformats.org/officeDocument/2006/relationships/hyperlink" Target="https://www.sec.gov/Archives/edgar/data/715072/000071507225000054/amdtno2tochapmanempagrex10.htm" TargetMode="External"/><Relationship Id="rId224" Type="http://schemas.openxmlformats.org/officeDocument/2006/relationships/hyperlink" Target="https://www.sec.gov/Archives/edgar/data/715072/000071507216000084/exempagreementwaycaster.htm" TargetMode="External"/><Relationship Id="rId225" Type="http://schemas.openxmlformats.org/officeDocument/2006/relationships/hyperlink" Target="https://www.sec.gov/Archives/edgar/data/715072/000071507218000070/rnst12312017exhibit103_way.htm" TargetMode="External"/><Relationship Id="rId226" Type="http://schemas.openxmlformats.org/officeDocument/2006/relationships/hyperlink" Target="https://www.sec.gov/Archives/edgar/data/715072/000071507225000054/amdtno2towaycasterempagrex.htm" TargetMode="External"/><Relationship Id="rId227" Type="http://schemas.openxmlformats.org/officeDocument/2006/relationships/hyperlink" Target="https://www.sec.gov/Archives/edgar/data/715072/000071507219000041/exhibit101brandgrouphold.htm" TargetMode="External"/><Relationship Id="rId228" Type="http://schemas.openxmlformats.org/officeDocument/2006/relationships/hyperlink" Target="https://www.sec.gov/Archives/edgar/data/715072/000071507219000041/exhibit102renasantbankdefe.htm" TargetMode="External"/><Relationship Id="rId229" Type="http://schemas.openxmlformats.org/officeDocument/2006/relationships/hyperlink" Target="https://www.sec.gov/Archives/edgar/data/715072/000071507221000057/amendmenttodeferredincomep.htm" TargetMode="External"/><Relationship Id="rId230" Type="http://schemas.openxmlformats.org/officeDocument/2006/relationships/hyperlink" Target="https://www.sec.gov/Archives/edgar/data/715072/000071507220000155/a2020long-termincentiv.htm" TargetMode="External"/><Relationship Id="rId231" Type="http://schemas.openxmlformats.org/officeDocument/2006/relationships/hyperlink" Target="https://www.sec.gov/Archives/edgar/data/715072/000071507224000130/exhibit102-ltipamendment.htm" TargetMode="External"/><Relationship Id="rId232" Type="http://schemas.openxmlformats.org/officeDocument/2006/relationships/hyperlink" Target="https://www.sec.gov/Archives/edgar/data/715072/000071507221000057/cperry_employmentagreement.htm" TargetMode="External"/><Relationship Id="rId233" Type="http://schemas.openxmlformats.org/officeDocument/2006/relationships/hyperlink" Target="https://www.sec.gov/Archives/edgar/data/715072/000071507220000188/exh101-employmentagrwi.htm" TargetMode="External"/><Relationship Id="rId234" Type="http://schemas.openxmlformats.org/officeDocument/2006/relationships/hyperlink" Target="https://www.sec.gov/Archives/edgar/data/715072/000071507225000123/ex101_coleemplagr.htm" TargetMode="External"/><Relationship Id="rId235" Type="http://schemas.openxmlformats.org/officeDocument/2006/relationships/hyperlink" Target="https://www.sec.gov/Archives/edgar/data/715072/000071507225000226/ex16-horneletter.htm" TargetMode="External"/><Relationship Id="rId236" Type="http://schemas.openxmlformats.org/officeDocument/2006/relationships/hyperlink" Target="https://www.sec.gov/Archives/edgar/data/715072/000071507225000054/exh19insidertradingpolicy.htm" TargetMode="External"/><Relationship Id="rId238" Type="http://schemas.openxmlformats.org/officeDocument/2006/relationships/hyperlink" Target="https://www.sec.gov/Archives/edgar/data/715072/000071507225000054/exh97clawback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2026-03-02T15:22:24Z</dcterms:created>
  <dcterms:modified xsi:type="dcterms:W3CDTF">2026-03-02T15:22:24Z</dcterms:modified>
</cp:coreProperties>
</file>