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FORM 11-K</w:t>
      </w:r>
    </w:p>
    <w:p>
      <w:pPr>
        <w:sectPr>
          <w:pgSz w:w="11900" w:h="16838" w:orient="portrait"/>
          <w:cols w:equalWidth="0" w:num="1">
            <w:col w:w="9279"/>
          </w:cols>
          <w:pgMar w:left="1180" w:top="1440" w:right="1440" w:bottom="1440" w:gutter="0" w:footer="0" w:header="0"/>
        </w:sectPr>
      </w:pP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ü</w:t>
      </w:r>
      <w:r>
        <w:rPr>
          <w:rFonts w:ascii="Arial" w:cs="Arial" w:eastAsia="Arial" w:hAnsi="Arial"/>
          <w:sz w:val="18"/>
          <w:szCs w:val="18"/>
          <w:color w:val="auto"/>
        </w:rPr>
        <w:t>]</w:t>
      </w:r>
    </w:p>
    <w:p>
      <w:pPr>
        <w:spacing w:after="0" w:line="385" w:lineRule="exact"/>
        <w:rPr>
          <w:sz w:val="24"/>
          <w:szCs w:val="24"/>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FFFF"/>
        </w:rPr>
        <w:t>X</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ind w:left="460" w:right="1819" w:hanging="9"/>
        <w:spacing w:after="0" w:line="235" w:lineRule="auto"/>
        <w:rPr>
          <w:sz w:val="20"/>
          <w:szCs w:val="20"/>
          <w:color w:val="auto"/>
        </w:rPr>
      </w:pPr>
      <w:r>
        <w:rPr>
          <w:rFonts w:ascii="Arial" w:cs="Arial" w:eastAsia="Arial" w:hAnsi="Arial"/>
          <w:sz w:val="18"/>
          <w:szCs w:val="18"/>
          <w:color w:val="auto"/>
        </w:rPr>
        <w:t>Annual Report Pursuant to Section 15(d) of the Securities Exchange Act of 1934 For the fiscal year ended December 31, 2020</w:t>
      </w:r>
    </w:p>
    <w:p>
      <w:pPr>
        <w:ind w:left="42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60" w:right="1619" w:hanging="2"/>
        <w:spacing w:after="0" w:line="234" w:lineRule="auto"/>
        <w:rPr>
          <w:sz w:val="20"/>
          <w:szCs w:val="20"/>
          <w:color w:val="auto"/>
        </w:rPr>
      </w:pPr>
      <w:r>
        <w:rPr>
          <w:rFonts w:ascii="Arial" w:cs="Arial" w:eastAsia="Arial" w:hAnsi="Arial"/>
          <w:sz w:val="18"/>
          <w:szCs w:val="18"/>
          <w:color w:val="auto"/>
        </w:rPr>
        <w:t>Transition Report Pursuant to Section 15(d) of the Securities Exchange Act of 1934 For the transition period from ____ to ____</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939"/>
        <w:spacing w:after="0"/>
        <w:rPr>
          <w:sz w:val="20"/>
          <w:szCs w:val="20"/>
          <w:color w:val="auto"/>
        </w:rPr>
      </w:pPr>
      <w:r>
        <w:rPr>
          <w:rFonts w:ascii="Arial" w:cs="Arial" w:eastAsia="Arial" w:hAnsi="Arial"/>
          <w:sz w:val="18"/>
          <w:szCs w:val="18"/>
          <w:color w:val="auto"/>
        </w:rPr>
        <w:t>Commission file number 001-13253</w:t>
      </w:r>
    </w:p>
    <w:p>
      <w:pPr>
        <w:spacing w:after="0" w:line="50" w:lineRule="exact"/>
        <w:rPr>
          <w:sz w:val="24"/>
          <w:szCs w:val="24"/>
          <w:color w:val="auto"/>
        </w:rPr>
      </w:pPr>
    </w:p>
    <w:p>
      <w:pPr>
        <w:jc w:val="center"/>
        <w:ind w:right="919"/>
        <w:spacing w:after="0"/>
        <w:rPr>
          <w:sz w:val="20"/>
          <w:szCs w:val="20"/>
          <w:color w:val="auto"/>
        </w:rPr>
      </w:pPr>
      <w:r>
        <w:rPr>
          <w:rFonts w:ascii="Arial" w:cs="Arial" w:eastAsia="Arial" w:hAnsi="Arial"/>
          <w:sz w:val="16"/>
          <w:szCs w:val="16"/>
          <w:color w:val="auto"/>
        </w:rPr>
        <w:t>A. Full title of the plan and the address of the plan, if different from that of the issuer named below:</w:t>
      </w:r>
    </w:p>
    <w:p>
      <w:pPr>
        <w:spacing w:after="0" w:line="46" w:lineRule="exact"/>
        <w:rPr>
          <w:sz w:val="24"/>
          <w:szCs w:val="24"/>
          <w:color w:val="auto"/>
        </w:rPr>
      </w:pPr>
    </w:p>
    <w:p>
      <w:pPr>
        <w:ind w:left="1740"/>
        <w:spacing w:after="0"/>
        <w:rPr>
          <w:sz w:val="20"/>
          <w:szCs w:val="20"/>
          <w:color w:val="auto"/>
        </w:rPr>
      </w:pPr>
      <w:r>
        <w:rPr>
          <w:rFonts w:ascii="Arial" w:cs="Arial" w:eastAsia="Arial" w:hAnsi="Arial"/>
          <w:sz w:val="25"/>
          <w:szCs w:val="25"/>
          <w:b w:val="1"/>
          <w:bCs w:val="1"/>
          <w:color w:val="auto"/>
        </w:rPr>
        <w:t>RENASANT BANK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-1221105</wp:posOffset>
            </wp:positionH>
            <wp:positionV relativeFrom="paragraph">
              <wp:posOffset>6350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0" w:space="320"/>
            <w:col w:w="8099"/>
          </w:cols>
          <w:pgMar w:left="1180" w:top="1440" w:right="1440" w:bottom="1440" w:gutter="0" w:footer="0" w:header="0"/>
          <w:type w:val="continuous"/>
        </w:sectPr>
      </w:pPr>
    </w:p>
    <w:p>
      <w:pPr>
        <w:spacing w:after="0" w:line="173"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B. Name of issuer of the securities held pursuant to the plan and the address of its principal executive office:</w:t>
      </w:r>
    </w:p>
    <w:p>
      <w:pPr>
        <w:spacing w:after="0" w:line="46"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RENASANT CORPORATION</w:t>
      </w:r>
    </w:p>
    <w:p>
      <w:pPr>
        <w:spacing w:after="0" w:line="18"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209 Troy Street</w:t>
      </w:r>
    </w:p>
    <w:p>
      <w:pPr>
        <w:spacing w:after="0" w:line="14"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Tupelo, MS 38804-4827</w:t>
      </w:r>
    </w:p>
    <w:p>
      <w:pPr>
        <w:sectPr>
          <w:pgSz w:w="11900" w:h="16838" w:orient="portrait"/>
          <w:cols w:equalWidth="0" w:num="1">
            <w:col w:w="9279"/>
          </w:cols>
          <w:pgMar w:left="1180" w:top="1440" w:right="1440"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10860" w:type="dxa"/>
            <w:vAlign w:val="bottom"/>
          </w:tcPr>
          <w:p>
            <w:pPr>
              <w:jc w:val="center"/>
              <w:ind w:left="270"/>
              <w:spacing w:after="0"/>
              <w:rPr>
                <w:sz w:val="20"/>
                <w:szCs w:val="20"/>
                <w:color w:val="auto"/>
              </w:rPr>
            </w:pPr>
            <w:r>
              <w:rPr>
                <w:rFonts w:ascii="Arial" w:cs="Arial" w:eastAsia="Arial" w:hAnsi="Arial"/>
                <w:sz w:val="18"/>
                <w:szCs w:val="18"/>
                <w:color w:val="auto"/>
                <w:w w:val="89"/>
              </w:rPr>
              <w:t>Renasant Bank 401(k) Plan</w:t>
            </w:r>
          </w:p>
        </w:tc>
        <w:tc>
          <w:tcPr>
            <w:tcW w:w="340" w:type="dxa"/>
            <w:vAlign w:val="bottom"/>
          </w:tcPr>
          <w:p>
            <w:pPr>
              <w:spacing w:after="0"/>
              <w:rPr>
                <w:sz w:val="20"/>
                <w:szCs w:val="20"/>
                <w:color w:val="auto"/>
              </w:rPr>
            </w:pPr>
          </w:p>
        </w:tc>
      </w:tr>
      <w:tr>
        <w:trPr>
          <w:trHeight w:val="324"/>
        </w:trPr>
        <w:tc>
          <w:tcPr>
            <w:tcW w:w="10860" w:type="dxa"/>
            <w:vAlign w:val="bottom"/>
          </w:tcPr>
          <w:p>
            <w:pPr>
              <w:jc w:val="center"/>
              <w:ind w:left="250"/>
              <w:spacing w:after="0"/>
              <w:rPr>
                <w:sz w:val="20"/>
                <w:szCs w:val="20"/>
                <w:color w:val="auto"/>
              </w:rPr>
            </w:pPr>
            <w:r>
              <w:rPr>
                <w:rFonts w:ascii="Arial" w:cs="Arial" w:eastAsia="Arial" w:hAnsi="Arial"/>
                <w:sz w:val="18"/>
                <w:szCs w:val="18"/>
                <w:color w:val="auto"/>
                <w:w w:val="94"/>
              </w:rPr>
              <w:t>Form 11-K</w:t>
            </w:r>
          </w:p>
        </w:tc>
        <w:tc>
          <w:tcPr>
            <w:tcW w:w="340" w:type="dxa"/>
            <w:vAlign w:val="bottom"/>
          </w:tcPr>
          <w:p>
            <w:pPr>
              <w:spacing w:after="0"/>
              <w:rPr>
                <w:sz w:val="24"/>
                <w:szCs w:val="24"/>
                <w:color w:val="auto"/>
              </w:rPr>
            </w:pPr>
          </w:p>
        </w:tc>
      </w:tr>
      <w:tr>
        <w:trPr>
          <w:trHeight w:val="324"/>
        </w:trPr>
        <w:tc>
          <w:tcPr>
            <w:tcW w:w="10860" w:type="dxa"/>
            <w:vAlign w:val="bottom"/>
          </w:tcPr>
          <w:p>
            <w:pPr>
              <w:jc w:val="center"/>
              <w:ind w:left="270"/>
              <w:spacing w:after="0"/>
              <w:rPr>
                <w:sz w:val="20"/>
                <w:szCs w:val="20"/>
                <w:color w:val="auto"/>
              </w:rPr>
            </w:pPr>
            <w:r>
              <w:rPr>
                <w:rFonts w:ascii="Arial" w:cs="Arial" w:eastAsia="Arial" w:hAnsi="Arial"/>
                <w:sz w:val="18"/>
                <w:szCs w:val="18"/>
                <w:color w:val="auto"/>
                <w:w w:val="89"/>
              </w:rPr>
              <w:t>For the Year Ended December 31, 2020</w:t>
            </w:r>
          </w:p>
        </w:tc>
        <w:tc>
          <w:tcPr>
            <w:tcW w:w="340" w:type="dxa"/>
            <w:vAlign w:val="bottom"/>
          </w:tcPr>
          <w:p>
            <w:pPr>
              <w:spacing w:after="0"/>
              <w:rPr>
                <w:sz w:val="24"/>
                <w:szCs w:val="24"/>
                <w:color w:val="auto"/>
              </w:rPr>
            </w:pPr>
          </w:p>
        </w:tc>
      </w:tr>
      <w:tr>
        <w:trPr>
          <w:trHeight w:val="324"/>
        </w:trPr>
        <w:tc>
          <w:tcPr>
            <w:tcW w:w="10860" w:type="dxa"/>
            <w:vAlign w:val="bottom"/>
          </w:tcPr>
          <w:p>
            <w:pPr>
              <w:jc w:val="center"/>
              <w:ind w:left="250"/>
              <w:spacing w:after="0"/>
              <w:rPr>
                <w:sz w:val="20"/>
                <w:szCs w:val="20"/>
                <w:color w:val="auto"/>
              </w:rPr>
            </w:pPr>
            <w:r>
              <w:rPr>
                <w:rFonts w:ascii="Arial" w:cs="Arial" w:eastAsia="Arial" w:hAnsi="Arial"/>
                <w:sz w:val="18"/>
                <w:szCs w:val="18"/>
                <w:b w:val="1"/>
                <w:bCs w:val="1"/>
                <w:color w:val="auto"/>
              </w:rPr>
              <w:t>CONTENTS</w:t>
            </w:r>
          </w:p>
        </w:tc>
        <w:tc>
          <w:tcPr>
            <w:tcW w:w="340" w:type="dxa"/>
            <w:vAlign w:val="bottom"/>
          </w:tcPr>
          <w:p>
            <w:pPr>
              <w:spacing w:after="0"/>
              <w:rPr>
                <w:sz w:val="24"/>
                <w:szCs w:val="24"/>
                <w:color w:val="auto"/>
              </w:rPr>
            </w:pPr>
          </w:p>
        </w:tc>
      </w:tr>
      <w:tr>
        <w:trPr>
          <w:trHeight w:val="216"/>
        </w:trPr>
        <w:tc>
          <w:tcPr>
            <w:tcW w:w="108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250"/>
        </w:trPr>
        <w:tc>
          <w:tcPr>
            <w:tcW w:w="108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10860" w:type="dxa"/>
            <w:vAlign w:val="bottom"/>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24"/>
                <w:szCs w:val="24"/>
                <w:color w:val="auto"/>
              </w:rPr>
            </w:pPr>
          </w:p>
        </w:tc>
      </w:tr>
      <w:tr>
        <w:trPr>
          <w:trHeight w:val="486"/>
        </w:trPr>
        <w:tc>
          <w:tcPr>
            <w:tcW w:w="10860" w:type="dxa"/>
            <w:vAlign w:val="bottom"/>
          </w:tcPr>
          <w:p>
            <w:pPr>
              <w:ind w:left="660"/>
              <w:spacing w:after="0"/>
              <w:rPr>
                <w:sz w:val="20"/>
                <w:szCs w:val="20"/>
                <w:color w:val="auto"/>
              </w:rPr>
            </w:pPr>
            <w:r>
              <w:rPr>
                <w:rFonts w:ascii="Arial" w:cs="Arial" w:eastAsia="Arial" w:hAnsi="Arial"/>
                <w:sz w:val="18"/>
                <w:szCs w:val="18"/>
                <w:color w:val="auto"/>
              </w:rPr>
              <w:t>Statements of Net Assets Available for Benefits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86"/>
        </w:trPr>
        <w:tc>
          <w:tcPr>
            <w:tcW w:w="10860" w:type="dxa"/>
            <w:vAlign w:val="bottom"/>
          </w:tcPr>
          <w:p>
            <w:pPr>
              <w:ind w:left="660"/>
              <w:spacing w:after="0"/>
              <w:rPr>
                <w:sz w:val="20"/>
                <w:szCs w:val="20"/>
                <w:color w:val="auto"/>
              </w:rPr>
            </w:pPr>
            <w:r>
              <w:rPr>
                <w:rFonts w:ascii="Arial" w:cs="Arial" w:eastAsia="Arial" w:hAnsi="Arial"/>
                <w:sz w:val="18"/>
                <w:szCs w:val="18"/>
                <w:color w:val="auto"/>
              </w:rPr>
              <w:t>Statements of Changes in Net Assets Available for Benefits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86"/>
        </w:trPr>
        <w:tc>
          <w:tcPr>
            <w:tcW w:w="10860" w:type="dxa"/>
            <w:vAlign w:val="bottom"/>
          </w:tcPr>
          <w:p>
            <w:pPr>
              <w:ind w:left="660"/>
              <w:spacing w:after="0"/>
              <w:rPr>
                <w:sz w:val="20"/>
                <w:szCs w:val="20"/>
                <w:color w:val="auto"/>
              </w:rPr>
            </w:pPr>
            <w:r>
              <w:rPr>
                <w:rFonts w:ascii="Arial" w:cs="Arial" w:eastAsia="Arial" w:hAnsi="Arial"/>
                <w:sz w:val="18"/>
                <w:szCs w:val="18"/>
                <w:color w:val="auto"/>
              </w:rPr>
              <w:t>Notes to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86"/>
        </w:trPr>
        <w:tc>
          <w:tcPr>
            <w:tcW w:w="10860" w:type="dxa"/>
            <w:vAlign w:val="bottom"/>
          </w:tcPr>
          <w:p>
            <w:pPr>
              <w:spacing w:after="0"/>
              <w:rPr>
                <w:sz w:val="20"/>
                <w:szCs w:val="20"/>
                <w:color w:val="auto"/>
              </w:rPr>
            </w:pPr>
            <w:r>
              <w:rPr>
                <w:rFonts w:ascii="Arial" w:cs="Arial" w:eastAsia="Arial" w:hAnsi="Arial"/>
                <w:sz w:val="18"/>
                <w:szCs w:val="18"/>
                <w:color w:val="auto"/>
              </w:rPr>
              <w:t>Supplemental Schedule</w:t>
            </w:r>
          </w:p>
        </w:tc>
        <w:tc>
          <w:tcPr>
            <w:tcW w:w="340" w:type="dxa"/>
            <w:vAlign w:val="bottom"/>
          </w:tcPr>
          <w:p>
            <w:pPr>
              <w:spacing w:after="0"/>
              <w:rPr>
                <w:sz w:val="24"/>
                <w:szCs w:val="24"/>
                <w:color w:val="auto"/>
              </w:rPr>
            </w:pPr>
          </w:p>
        </w:tc>
      </w:tr>
      <w:tr>
        <w:trPr>
          <w:trHeight w:val="486"/>
        </w:trPr>
        <w:tc>
          <w:tcPr>
            <w:tcW w:w="1086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Schedule H, Line 4i </w:t>
            </w:r>
            <w:r>
              <w:rPr>
                <w:rFonts w:ascii="MS PGothic" w:cs="MS PGothic" w:eastAsia="MS PGothic" w:hAnsi="MS PGothic"/>
                <w:sz w:val="18"/>
                <w:szCs w:val="18"/>
                <w:color w:val="auto"/>
              </w:rPr>
              <w:t>‑</w:t>
            </w:r>
            <w:r>
              <w:rPr>
                <w:rFonts w:ascii="Arial" w:cs="Arial" w:eastAsia="Arial" w:hAnsi="Arial"/>
                <w:sz w:val="18"/>
                <w:szCs w:val="18"/>
                <w:color w:val="auto"/>
              </w:rPr>
              <w:t xml:space="preserve"> Schedule of Assets (Held at End of Year)</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86"/>
        </w:trPr>
        <w:tc>
          <w:tcPr>
            <w:tcW w:w="10860" w:type="dxa"/>
            <w:vAlign w:val="bottom"/>
          </w:tcPr>
          <w:p>
            <w:pPr>
              <w:spacing w:after="0"/>
              <w:rPr>
                <w:sz w:val="20"/>
                <w:szCs w:val="20"/>
                <w:color w:val="auto"/>
              </w:rPr>
            </w:pPr>
            <w:r>
              <w:rPr>
                <w:rFonts w:ascii="Arial" w:cs="Arial" w:eastAsia="Arial" w:hAnsi="Arial"/>
                <w:sz w:val="18"/>
                <w:szCs w:val="18"/>
                <w:color w:val="auto"/>
              </w:rPr>
              <w:t>Signatures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86"/>
        </w:trPr>
        <w:tc>
          <w:tcPr>
            <w:tcW w:w="10860" w:type="dxa"/>
            <w:vAlign w:val="bottom"/>
          </w:tcPr>
          <w:p>
            <w:pPr>
              <w:spacing w:after="0"/>
              <w:rPr>
                <w:sz w:val="20"/>
                <w:szCs w:val="20"/>
                <w:color w:val="auto"/>
              </w:rPr>
            </w:pPr>
            <w:r>
              <w:rPr>
                <w:rFonts w:ascii="Arial" w:cs="Arial" w:eastAsia="Arial" w:hAnsi="Arial"/>
                <w:sz w:val="18"/>
                <w:szCs w:val="18"/>
                <w:color w:val="auto"/>
              </w:rPr>
              <w:t>Exhibit Index</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1421" w:right="339" w:bottom="1440" w:gutter="0" w:footer="0" w:header="0"/>
        </w:sectPr>
      </w:pPr>
    </w:p>
    <w:bookmarkStart w:id="2" w:name="page3"/>
    <w:bookmarkEnd w:id="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Plan Administrator, and Plan Participants of the Renasant Bank 401(k)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audited the accompanying statements of net assets available for benefits of Renasant Bank 401(k) Plan (the “Plan”) as of December 31, 2020 and 2019, the related statements of changes in net assets available for benefits for the years ended December 31, 2020 and 2019, and the related notes to the financial statements (collectively, “the financial statements”). In our opinion, the financial statements present fairly, in all material respects, the net assets available for benefits of the Plan as of December 31, 2020 and 2019, and the changes in net assets available for benefits for the years ended December 31, 2020 and 2019,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2020,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HORNE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Investments, at fair value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Mutual funds</w:t>
      </w:r>
    </w:p>
    <w:p>
      <w:pPr>
        <w:spacing w:after="0" w:line="23" w:lineRule="exact"/>
        <w:rPr>
          <w:sz w:val="20"/>
          <w:szCs w:val="20"/>
          <w:color w:val="auto"/>
        </w:rPr>
      </w:pPr>
    </w:p>
    <w:p>
      <w:pPr>
        <w:ind w:left="100" w:right="340"/>
        <w:spacing w:after="0" w:line="307" w:lineRule="auto"/>
        <w:rPr>
          <w:sz w:val="20"/>
          <w:szCs w:val="20"/>
          <w:color w:val="auto"/>
        </w:rPr>
      </w:pPr>
      <w:r>
        <w:rPr>
          <w:rFonts w:ascii="Arial" w:cs="Arial" w:eastAsia="Arial" w:hAnsi="Arial"/>
          <w:sz w:val="16"/>
          <w:szCs w:val="16"/>
          <w:color w:val="auto"/>
        </w:rPr>
        <w:t>Separately managed accounts Renasant Corporation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Receivables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Company contributions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Participant contributions</w:t>
      </w:r>
    </w:p>
    <w:p>
      <w:pPr>
        <w:spacing w:after="0" w:line="23" w:lineRule="exact"/>
        <w:rPr>
          <w:sz w:val="20"/>
          <w:szCs w:val="20"/>
          <w:color w:val="auto"/>
        </w:rPr>
      </w:pPr>
    </w:p>
    <w:p>
      <w:pPr>
        <w:ind w:right="540" w:firstLine="93"/>
        <w:spacing w:after="0" w:line="307" w:lineRule="auto"/>
        <w:rPr>
          <w:sz w:val="20"/>
          <w:szCs w:val="20"/>
          <w:color w:val="auto"/>
        </w:rPr>
      </w:pPr>
      <w:r>
        <w:rPr>
          <w:rFonts w:ascii="Arial" w:cs="Arial" w:eastAsia="Arial" w:hAnsi="Arial"/>
          <w:sz w:val="18"/>
          <w:szCs w:val="18"/>
          <w:color w:val="auto"/>
        </w:rPr>
        <w:t>Notes receivable from participants Total 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assets available for benefits</w:t>
      </w:r>
    </w:p>
    <w:p>
      <w:pPr>
        <w:spacing w:after="0" w:line="37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See Notes to Financial Statements.</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Statements of Net Assets Available for Benefits</w:t>
      </w:r>
    </w:p>
    <w:p>
      <w:pPr>
        <w:spacing w:after="0" w:line="261"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18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92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115,570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87,572</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123,870</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108,286</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25,742</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29,722</w:t>
            </w:r>
          </w:p>
        </w:tc>
      </w:tr>
      <w:tr>
        <w:trPr>
          <w:trHeight w:val="224"/>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265,182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225,580</w:t>
            </w:r>
          </w:p>
        </w:tc>
      </w:tr>
      <w:tr>
        <w:trPr>
          <w:trHeight w:val="714"/>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10,811</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9,138</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r>
      <w:tr>
        <w:trPr>
          <w:trHeight w:val="224"/>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14,363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485"/>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279,545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237,735</w:t>
            </w:r>
          </w:p>
        </w:tc>
      </w:tr>
      <w:tr>
        <w:trPr>
          <w:trHeight w:val="486"/>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279,545</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237,735</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-2596515</wp:posOffset>
            </wp:positionV>
            <wp:extent cx="71323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-2287905</wp:posOffset>
            </wp:positionV>
            <wp:extent cx="7132320"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-1996440</wp:posOffset>
            </wp:positionV>
            <wp:extent cx="7132320"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-1705610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-1388110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-1096645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-805180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-487680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120" w:space="720"/>
            <w:col w:w="7340"/>
          </w:cols>
          <w:pgMar w:left="38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37"/>
        </w:trPr>
        <w:tc>
          <w:tcPr>
            <w:tcW w:w="8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080" w:type="dxa"/>
            <w:vAlign w:val="bottom"/>
          </w:tcPr>
          <w:p>
            <w:pPr>
              <w:ind w:left="8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0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29"/>
        </w:trPr>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appreciation in fair value of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w:t>
            </w:r>
          </w:p>
        </w:tc>
      </w:tr>
      <w:tr>
        <w:trPr>
          <w:trHeight w:val="230"/>
        </w:trPr>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investment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37,405</w:t>
            </w:r>
          </w:p>
        </w:tc>
      </w:tr>
      <w:tr>
        <w:trPr>
          <w:trHeight w:val="257"/>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Contributions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18,077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15,476</w:t>
            </w:r>
          </w:p>
        </w:tc>
      </w:tr>
      <w:tr>
        <w:trPr>
          <w:trHeight w:val="229"/>
        </w:trPr>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w:t>
            </w:r>
          </w:p>
        </w:tc>
      </w:tr>
      <w:tr>
        <w:trPr>
          <w:trHeight w:val="229"/>
        </w:trPr>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Rollovers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r>
      <w:tr>
        <w:trPr>
          <w:trHeight w:val="223"/>
        </w:trPr>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contributions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32,890</w:t>
            </w:r>
          </w:p>
        </w:tc>
      </w:tr>
      <w:tr>
        <w:trPr>
          <w:trHeight w:val="257"/>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Deductions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Arial" w:cs="Arial" w:eastAsia="Arial" w:hAnsi="Arial"/>
                <w:sz w:val="18"/>
                <w:szCs w:val="18"/>
                <w:color w:val="auto"/>
              </w:rPr>
              <w:t>Benefits paid to participants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23,692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14,886</w:t>
            </w:r>
          </w:p>
        </w:tc>
      </w:tr>
      <w:tr>
        <w:trPr>
          <w:trHeight w:val="229"/>
        </w:trPr>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 and fees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080" w:type="dxa"/>
            <w:vAlign w:val="bottom"/>
          </w:tcPr>
          <w:p>
            <w:pPr>
              <w:ind w:left="60"/>
              <w:spacing w:after="0"/>
              <w:rPr>
                <w:sz w:val="20"/>
                <w:szCs w:val="20"/>
                <w:color w:val="auto"/>
              </w:rPr>
            </w:pPr>
            <w:r>
              <w:rPr>
                <w:rFonts w:ascii="Arial" w:cs="Arial" w:eastAsia="Arial" w:hAnsi="Arial"/>
                <w:sz w:val="18"/>
                <w:szCs w:val="18"/>
                <w:color w:val="auto"/>
              </w:rPr>
              <w:t>Total deductions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23,705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14,897</w:t>
            </w:r>
          </w:p>
        </w:tc>
      </w:tr>
      <w:tr>
        <w:trPr>
          <w:trHeight w:val="257"/>
        </w:trPr>
        <w:tc>
          <w:tcPr>
            <w:tcW w:w="8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23"/>
        </w:trPr>
        <w:tc>
          <w:tcPr>
            <w:tcW w:w="8080" w:type="dxa"/>
            <w:vAlign w:val="bottom"/>
          </w:tcPr>
          <w:p>
            <w:pPr>
              <w:ind w:left="80"/>
              <w:spacing w:after="0"/>
              <w:rPr>
                <w:sz w:val="20"/>
                <w:szCs w:val="20"/>
                <w:color w:val="auto"/>
              </w:rPr>
            </w:pPr>
            <w:r>
              <w:rPr>
                <w:rFonts w:ascii="Arial" w:cs="Arial" w:eastAsia="Arial" w:hAnsi="Arial"/>
                <w:sz w:val="18"/>
                <w:szCs w:val="18"/>
                <w:color w:val="auto"/>
              </w:rPr>
              <w:t>Net increase in net assets available for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41,810</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55,398</w:t>
            </w:r>
          </w:p>
        </w:tc>
      </w:tr>
      <w:tr>
        <w:trPr>
          <w:trHeight w:val="256"/>
        </w:trPr>
        <w:tc>
          <w:tcPr>
            <w:tcW w:w="8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8080" w:type="dxa"/>
            <w:vAlign w:val="bottom"/>
          </w:tcPr>
          <w:p>
            <w:pPr>
              <w:ind w:left="80"/>
              <w:spacing w:after="0"/>
              <w:rPr>
                <w:sz w:val="20"/>
                <w:szCs w:val="20"/>
                <w:color w:val="auto"/>
              </w:rPr>
            </w:pPr>
            <w:r>
              <w:rPr>
                <w:rFonts w:ascii="Arial" w:cs="Arial" w:eastAsia="Arial" w:hAnsi="Arial"/>
                <w:sz w:val="18"/>
                <w:szCs w:val="18"/>
                <w:color w:val="auto"/>
              </w:rPr>
              <w:t>Net assets available for benefits: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182,337</w:t>
            </w:r>
          </w:p>
        </w:tc>
      </w:tr>
      <w:tr>
        <w:trPr>
          <w:trHeight w:val="256"/>
        </w:trPr>
        <w:tc>
          <w:tcPr>
            <w:tcW w:w="8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48"/>
        </w:trPr>
        <w:tc>
          <w:tcPr>
            <w:tcW w:w="8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279,545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237,735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Plan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description of The Renasant Bank 401(k) Plan (the “Plan”) is provided for general information purposes only. Participants should refer to the Plan document for more complete information.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Plan is a defined contribution plan that includes a “safe harbor” arrangement within the meaning of Section 401(k)(13) of the Internal Revenue Code of 1986, as amended, and is subject to the provisions of the Employee Retirement Income Security Act of 1974, as amended (“ERISA”). The Plan covers substantially all employees of Renasant Bank (the “Bank”) and its parent company, Renasant Corporation (the “Company”), as well as all employees of the Bank's wholly-owned subsidiaries, Renasant Insurance, Inc. and Park Place Capital Corporation. The Plan was amended in 2020 to: (a) change the Bank's profit-sharing contribution to a discretionary contribution; (b) modify the class of participants eligible to receive an allocation of the profit-sharing contribution; (c) add Park Place Capital Corporation as a participating employer; and (d) incorporate some provisions of the CARES Act, modifying rules related to certain distributions and loans made during 2020.</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Common law employees, other than employees subject to a collective bargaining agreement, non-resident aliens and temporary and seasonal workers, are immediately eligible to participate in the Plan.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 Participants may voluntarily defer compensation up to applicable IRS limits, as defined in the Plan document. Any deferrals in excess of applicable IRS limits are distributed to the participant in accordance with the terms of the Plan and are included in the line item “Corrective distributions” in the Statements of Changes in Net Assets Available for Benefits. Participants may also rollover distributions from other qualified retirement plans, subject to the approval of the Plan administrator.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of the Plan allow participants who were age 50 years or older during the calendar year to make catch-up contributions to the Plan. Catch-up contributions represent participant compensation deferrals in excess of regular plan and statutory limits.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matches 100% of each eligible participant’s voluntary deferrals, including catch-up contributions, up to 4% of compensation. The Bank may elect to make a profit sharing contribution in any year, allocated as a level percentage of the compensation of each eligible participant and the same percentage of compensation of each eligible participant in excess of the Social Security wage base.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Participant Accounts; Allocations</w:t>
      </w:r>
      <w:r>
        <w:rPr>
          <w:rFonts w:ascii="Arial" w:cs="Arial" w:eastAsia="Arial" w:hAnsi="Arial"/>
          <w:sz w:val="17"/>
          <w:szCs w:val="17"/>
          <w:color w:val="auto"/>
        </w:rPr>
        <w:t>: The Plan maintains one or more accounts for each participant, including a money purchase account for participants in a predecessor plan - The Peoples Bank &amp; Trust Company Money Purchase Plan - and an ESOP account for those participants who previously participated in the Renasant Bank Employee Stock Ownership Plan. Deferrals and rollover contributions are allocated to their respective accounts when made. Profit sharing contributions are made and allocated at the end of the Plan Year to the accounts of participants (a) who are employed on the last day of the Plan Year and are credited with 1,000 hours of service during such year, (b) who die or become disabled during the Plan Year, or (c) who attain the normal retirement age while employed. No additional contributions are allocated to money purchase accounts or ESOP accounts.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Participants direct the investment of their accounts in an ERISA Section 404(c) arrangement. Earnings are allocated to accounts each business day. The Plan allows participants to invest in common stock of the Bank's parent company - Renasant Corporation (“Employer Stock”). Participants may elect annually whether cash dividends paid on Employer Stock will be re-invested in additional shares of Employer Stock within the individual participant's account or be paid to the participant in cash.</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Participants are fully vested in deferrals and rollovers and earnings allocable to such contributions. Matching contributions made prior to January 1, 2017 and nondiscretionary profit sharing contributions vest under a six-year graduated schedule as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Plan (continued)</w:t>
      </w:r>
    </w:p>
    <w:p>
      <w:pPr>
        <w:spacing w:after="0" w:line="54" w:lineRule="exact"/>
        <w:rPr>
          <w:sz w:val="20"/>
          <w:szCs w:val="20"/>
          <w:color w:val="auto"/>
        </w:rPr>
      </w:pPr>
    </w:p>
    <w:tbl>
      <w:tblPr>
        <w:tblLayout w:type="fixed"/>
        <w:tblInd w:w="3720" w:type="dxa"/>
        <w:tblCellMar>
          <w:top w:w="0" w:type="dxa"/>
          <w:left w:w="0" w:type="dxa"/>
          <w:bottom w:w="0" w:type="dxa"/>
          <w:right w:w="0" w:type="dxa"/>
        </w:tblCellMar>
      </w:tblPr>
      <w:tr>
        <w:trPr>
          <w:trHeight w:val="213"/>
        </w:trPr>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Years of Service</w:t>
            </w: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Vested %</w:t>
            </w:r>
          </w:p>
        </w:tc>
      </w:tr>
      <w:tr>
        <w:trPr>
          <w:trHeight w:val="207"/>
        </w:trPr>
        <w:tc>
          <w:tcPr>
            <w:tcW w:w="2300" w:type="dxa"/>
            <w:vAlign w:val="bottom"/>
          </w:tcPr>
          <w:p>
            <w:pPr>
              <w:ind w:left="20"/>
              <w:spacing w:after="0"/>
              <w:rPr>
                <w:sz w:val="20"/>
                <w:szCs w:val="20"/>
                <w:color w:val="auto"/>
              </w:rPr>
            </w:pPr>
            <w:r>
              <w:rPr>
                <w:rFonts w:ascii="Arial" w:cs="Arial" w:eastAsia="Arial" w:hAnsi="Arial"/>
                <w:sz w:val="16"/>
                <w:szCs w:val="16"/>
                <w:color w:val="auto"/>
              </w:rPr>
              <w:t>Less than two</w:t>
            </w:r>
          </w:p>
        </w:tc>
        <w:tc>
          <w:tcPr>
            <w:tcW w:w="152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Two, but less than three</w:t>
            </w:r>
          </w:p>
        </w:tc>
        <w:tc>
          <w:tcPr>
            <w:tcW w:w="15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Three, but less than four</w:t>
            </w:r>
          </w:p>
        </w:tc>
        <w:tc>
          <w:tcPr>
            <w:tcW w:w="15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Four, but less than five</w:t>
            </w:r>
          </w:p>
        </w:tc>
        <w:tc>
          <w:tcPr>
            <w:tcW w:w="152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Five, but less than six</w:t>
            </w:r>
          </w:p>
        </w:tc>
        <w:tc>
          <w:tcPr>
            <w:tcW w:w="15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Six or more</w:t>
            </w:r>
          </w:p>
        </w:tc>
        <w:tc>
          <w:tcPr>
            <w:tcW w:w="152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Safe harbor matching contributions made after January 1, 2017, vest 100% after two years of service.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Forfeitures of non-vested contributions are used to reduce future employer contributions. There were forfeitures used in the amount of $476,960 and $803,934 for the years ended December 31, 2020 and 2019, respectively.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Benefits are equal to the vested value of each participant’s accounts. Upon termination of service, benefits are paid in the form of a single sum, except those amounts allocable to a participant’s money purchase account, which are paid in the form of an annuity, unless a participant otherwise elects.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Administrative Expenses</w:t>
      </w:r>
      <w:r>
        <w:rPr>
          <w:rFonts w:ascii="Arial" w:cs="Arial" w:eastAsia="Arial" w:hAnsi="Arial"/>
          <w:sz w:val="16"/>
          <w:szCs w:val="16"/>
          <w:color w:val="auto"/>
        </w:rPr>
        <w:t>: Processing fees of the Plan are charged against the individual participant account balance that was responsible for the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are paid by the Plan or may be paid by the Company at the Company's discretion.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Notes Receivable from Participants</w:t>
      </w:r>
      <w:r>
        <w:rPr>
          <w:rFonts w:ascii="Arial" w:cs="Arial" w:eastAsia="Arial" w:hAnsi="Arial"/>
          <w:sz w:val="18"/>
          <w:szCs w:val="18"/>
          <w:color w:val="auto"/>
        </w:rPr>
        <w:t>: Participants may borrow from their fund accounts up to a maximum equal to the lesser of $50,000 or 50% of their vested account balance. Loan terms range from one to five years, unless the loan is for the purchase of a principal residence. The loans are secured by the balance in the participant's accounts and bear interest at 1% over the Prime Rate published in the Wall Street Journal on the first business day of the month before the loan is originated. At December 31, 2020, the Prime Rate was 3.25%. The interest rate is fixed for the life of the loan. Principal and interest are paid ratably through payroll deductions.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Basis of Accounting</w:t>
      </w:r>
      <w:r>
        <w:rPr>
          <w:rFonts w:ascii="Arial" w:cs="Arial" w:eastAsia="Arial" w:hAnsi="Arial"/>
          <w:sz w:val="18"/>
          <w:szCs w:val="18"/>
          <w:color w:val="auto"/>
        </w:rPr>
        <w:t>: The Plan's financial statements are prepared using the accrual basis of accounting, with the exception of the payment of benefits, which are recognized as a reduction in the net assets available for benefits of the Plan as they are disbursed to participants.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The preparation of financial statements in conformity with accounting principles generally accepted in the United States of America requires the Plan administrator to make estimates and assumptions that affect certain reported amounts and disclosures. Accordingly, actual results may differ from those estimates.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Investment Valuation and Income Recognition</w:t>
      </w:r>
      <w:r>
        <w:rPr>
          <w:rFonts w:ascii="Arial" w:cs="Arial" w:eastAsia="Arial" w:hAnsi="Arial"/>
          <w:sz w:val="17"/>
          <w:szCs w:val="17"/>
          <w:color w:val="auto"/>
        </w:rPr>
        <w:t>: Investments are reported at fair value. Fair value is the price that would be received to sell an asset or paid to transfer a liability in an arms-length transaction between market participants at the measurement date. Refer to Note G, “Fair Value Measurements,” for a discussion of the methods and assumptions used by the Plan to estimate the fair values of the Plan’s investments. Purchases and sales of securities are recorded on a trade-date basis. Interest income is recorded on the accrual basis. Dividends are recorded on the ex-dividend date. Net appreciation (depreciation) in the fair value of investments, as recorded in the Statements of Changes in Net Assets Available for Benefits, includes changes in the fair value of investments acquired, sold or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 Receivable from Participants</w:t>
      </w:r>
      <w:r>
        <w:rPr>
          <w:rFonts w:ascii="Arial" w:cs="Arial" w:eastAsia="Arial" w:hAnsi="Arial"/>
          <w:sz w:val="16"/>
          <w:szCs w:val="16"/>
          <w:color w:val="auto"/>
        </w:rPr>
        <w:t>: Notes receivable from participants are measured at their unpaid principal balance plus any accrued but unpaid interest.</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The Plan has evaluated, for consideration of recognition or disclosure, subsequent events that have occurred after December 31, 2020 through the date of issuance of its financial statements.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significant events occurred prior to the issuance of the accompanying financial statements that would have a material impact on the Plan's financial statements.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Impact of Recently-Issued Accounting Standards and Pronouncements</w:t>
      </w:r>
      <w:r>
        <w:rPr>
          <w:rFonts w:ascii="Arial" w:cs="Arial" w:eastAsia="Arial" w:hAnsi="Arial"/>
          <w:sz w:val="16"/>
          <w:szCs w:val="16"/>
          <w:color w:val="auto"/>
        </w:rPr>
        <w:t>: In August 2018, the FASB issued ASU 2018-13, “Fair Value Measurement (Topic 820).” ASU 2018-13 is intended to improve the disclosures on fair value measurements by eliminating, amending and adding certain disclosure requirements. These changes are intended to reduce costs for preparers while providing more useful information for financial statement users. ASU 2018-13 was effective beginning with the 2020 Plan Year, and the adoption of the provisions did not have a material impact on the Plan's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Renasant Bank sponsors the Plan. Common stock of the Bank's parent company - Renasant Corporation - is one of the investment options in the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Renasant Bank is the trustee of the Plan. Great-West Life &amp; Annuity Insurance Company and related subsidiaries are third party administrators of the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the Plan and these entities constitute exempt party-in-interest transactions.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Plan’s investments are separately managed accounts consisting of mutual funds aggregated specifically for the investment option of participants in the Plan. Although these separately managed accounts bear the name of Renasant Bank, they do not consist of shares of the Company, and the underlying mutual funds are not proprietary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Risks and Uncertainties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Tax Status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Plan obtained its latest determination letter on July 27, 2017, in which the Internal Revenue Service stated that the Plan was in compliance with the applicable requirements of the Internal Revenue Code. The Plan sponsor believes the Plan is currently designed and being operated in compliance with the applicable requirements of the Internal Revenue Code. Therefore, no provision for income taxes has been included in the Plan's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Plan Termination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it has not expressed any intent to do so, the Company has the right at any time to terminate the Plan, in whole or in part, subject to the provisions of ERISA. In the event of Plan termination, affected participants will become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Renasant Bank 401(k)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Fair Value Measurements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Financial Accounting Standards Board Accounting Standards Codification Topic 820, “Fair Value Measurements,” provides guidance for using fair value to measure assets and liabilities and also establishes a fair value hierarchy that prioritizes the inputs to valuation techniques used to measure fair value into three broad levels. The fair value hierarchy gives the highest priority to a valuation based on quoted prices in active markets for identical assets and liabilities (Level 1), moderate priority to a valuation based on quoted prices in active markets for similar assets and liabilities and/or based on assumptions that are observable in the market (Level 2), and the lowest priority to a valuation based on assumptions that are not observable in the market (Level 3).</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are used by the Plan to estimate the fair values of the Plan’s financial instruments on a recurring basis: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Mutual funds</w:t>
      </w:r>
      <w:r>
        <w:rPr>
          <w:rFonts w:ascii="Arial" w:cs="Arial" w:eastAsia="Arial" w:hAnsi="Arial"/>
          <w:sz w:val="18"/>
          <w:szCs w:val="18"/>
          <w:color w:val="auto"/>
        </w:rPr>
        <w:t>: These investments are valued using the Net Asset Value (NAV) provided by the administrator of the fund. The NAV is based on the value of the underlying assets owned by the fund, minus its liabilities, and then divided by the number of shares outstanding. Mutual funds held by the Plan are open-end mutual funds that are registered with the Securities and Exchange Commission. These funds are required to publish their daily NAV and transact at that price. The mutual funds held by the Plan are deemed to be actively traded. (Level 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Separately managed accounts</w:t>
      </w:r>
      <w:r>
        <w:rPr>
          <w:rFonts w:ascii="Arial" w:cs="Arial" w:eastAsia="Arial" w:hAnsi="Arial"/>
          <w:sz w:val="18"/>
          <w:szCs w:val="18"/>
          <w:color w:val="auto"/>
        </w:rPr>
        <w:t>: The initial pricing inputs are the quoted share prices obtained for the underlying mutual funds. (Level 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Renasant Corporation common stock</w:t>
      </w:r>
      <w:r>
        <w:rPr>
          <w:rFonts w:ascii="Arial" w:cs="Arial" w:eastAsia="Arial" w:hAnsi="Arial"/>
          <w:sz w:val="18"/>
          <w:szCs w:val="18"/>
          <w:color w:val="auto"/>
        </w:rPr>
        <w:t>: The Company’s common stock is traded on the NASDAQ Global Select Market and is valued using the closing price on the last day of the Plan year. (Level 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Plan’s financial instruments that are measured at fair value on a recurring basis at December 31, 2020 and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Quoted Prices in Active</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2"/>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Markets for Identical</w:t>
            </w: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0"/>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420" w:type="dxa"/>
            <w:vAlign w:val="bottom"/>
          </w:tcPr>
          <w:p>
            <w:pPr>
              <w:spacing w:after="0"/>
              <w:rPr>
                <w:sz w:val="19"/>
                <w:szCs w:val="19"/>
                <w:color w:val="auto"/>
              </w:rPr>
            </w:pPr>
          </w:p>
        </w:tc>
        <w:tc>
          <w:tcPr>
            <w:tcW w:w="146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Totals</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115,570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115,570</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123,870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25,742</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265,182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87,572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87,572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108,286</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29,722</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225,580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225,580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Transfers between levels of the fair value hierarchy are reported at the beginning of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1417"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1417" w:right="1440" w:bottom="1440" w:gutter="0" w:footer="0" w:header="0"/>
          <w:type w:val="continuous"/>
        </w:sectPr>
      </w:pPr>
    </w:p>
    <w:bookmarkStart w:id="10" w:name="page11"/>
    <w:bookmarkEnd w:id="10"/>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6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color w:val="auto"/>
              </w:rPr>
              <w:t>(a)   (b) Identity of issuer, borrower, lessor or similar party</w:t>
            </w:r>
          </w:p>
        </w:tc>
        <w:tc>
          <w:tcPr>
            <w:tcW w:w="4620" w:type="dxa"/>
            <w:vAlign w:val="bottom"/>
            <w:tcBorders>
              <w:top w:val="single" w:sz="8" w:color="auto"/>
            </w:tcBorders>
          </w:tcPr>
          <w:p>
            <w:pPr>
              <w:ind w:left="420"/>
              <w:spacing w:after="0" w:line="179" w:lineRule="exact"/>
              <w:rPr>
                <w:sz w:val="20"/>
                <w:szCs w:val="20"/>
                <w:color w:val="auto"/>
              </w:rPr>
            </w:pPr>
            <w:r>
              <w:rPr>
                <w:rFonts w:ascii="Arial" w:cs="Arial" w:eastAsia="Arial" w:hAnsi="Arial"/>
                <w:sz w:val="16"/>
                <w:szCs w:val="16"/>
                <w:color w:val="auto"/>
                <w:w w:val="99"/>
              </w:rPr>
              <w:t>(c) Description of investment including maturity date, rate of</w:t>
            </w:r>
          </w:p>
        </w:tc>
        <w:tc>
          <w:tcPr>
            <w:tcW w:w="102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color w:val="auto"/>
              </w:rPr>
              <w:t>(d) Cost</w:t>
            </w:r>
          </w:p>
        </w:tc>
        <w:tc>
          <w:tcPr>
            <w:tcW w:w="114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3"/>
              </w:rPr>
              <w:t>(e) Current</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interest, collateral, par, or maturity value</w:t>
            </w:r>
          </w:p>
        </w:tc>
        <w:tc>
          <w:tcPr>
            <w:tcW w:w="10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Value</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560"/>
              <w:spacing w:after="0"/>
              <w:rPr>
                <w:sz w:val="20"/>
                <w:szCs w:val="20"/>
                <w:color w:val="auto"/>
              </w:rPr>
            </w:pPr>
            <w:r>
              <w:rPr>
                <w:rFonts w:ascii="Arial" w:cs="Arial" w:eastAsia="Arial" w:hAnsi="Arial"/>
                <w:sz w:val="16"/>
                <w:szCs w:val="16"/>
                <w:b w:val="1"/>
                <w:bCs w:val="1"/>
                <w:i w:val="1"/>
                <w:iCs w:val="1"/>
                <w:color w:val="auto"/>
              </w:rPr>
              <w:t>Equity and fixed income mutual funds</w:t>
            </w:r>
          </w:p>
        </w:tc>
        <w:tc>
          <w:tcPr>
            <w:tcW w:w="4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 w:lineRule="exact"/>
        <w:rPr>
          <w:sz w:val="20"/>
          <w:szCs w:val="20"/>
          <w:color w:val="auto"/>
        </w:rPr>
      </w:pPr>
    </w:p>
    <w:tbl>
      <w:tblPr>
        <w:tblLayout w:type="fixed"/>
        <w:tblInd w:w="16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Baird</w:t>
            </w:r>
          </w:p>
        </w:tc>
        <w:tc>
          <w:tcPr>
            <w:tcW w:w="3380" w:type="dxa"/>
            <w:vAlign w:val="bottom"/>
          </w:tcPr>
          <w:p>
            <w:pPr>
              <w:ind w:left="680"/>
              <w:spacing w:after="0"/>
              <w:rPr>
                <w:sz w:val="20"/>
                <w:szCs w:val="20"/>
                <w:color w:val="auto"/>
              </w:rPr>
            </w:pPr>
            <w:r>
              <w:rPr>
                <w:rFonts w:ascii="Arial" w:cs="Arial" w:eastAsia="Arial" w:hAnsi="Arial"/>
                <w:sz w:val="16"/>
                <w:szCs w:val="16"/>
                <w:color w:val="auto"/>
              </w:rPr>
              <w:t>Core Plus Bond Institutional</w:t>
            </w:r>
          </w:p>
        </w:tc>
      </w:tr>
      <w:tr>
        <w:trPr>
          <w:trHeight w:val="216"/>
        </w:trPr>
        <w:tc>
          <w:tcPr>
            <w:tcW w:w="400" w:type="dxa"/>
            <w:vAlign w:val="bottom"/>
          </w:tcPr>
          <w:p>
            <w:pPr>
              <w:jc w:val="center"/>
              <w:ind w:right="81"/>
              <w:spacing w:after="0"/>
              <w:rPr>
                <w:sz w:val="20"/>
                <w:szCs w:val="20"/>
                <w:color w:val="auto"/>
              </w:rPr>
            </w:pPr>
            <w:r>
              <w:rPr>
                <w:rFonts w:ascii="Arial" w:cs="Arial" w:eastAsia="Arial" w:hAnsi="Arial"/>
                <w:sz w:val="14"/>
                <w:szCs w:val="14"/>
                <w:color w:val="auto"/>
              </w:rPr>
              <w:t>**</w:t>
            </w: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80"/>
              <w:spacing w:after="0"/>
              <w:rPr>
                <w:sz w:val="20"/>
                <w:szCs w:val="20"/>
                <w:color w:val="auto"/>
              </w:rPr>
            </w:pPr>
            <w:r>
              <w:rPr>
                <w:rFonts w:ascii="Arial" w:cs="Arial" w:eastAsia="Arial" w:hAnsi="Arial"/>
                <w:sz w:val="16"/>
                <w:szCs w:val="16"/>
                <w:color w:val="auto"/>
              </w:rPr>
              <w:t>Government Obligation Premier</w:t>
            </w:r>
          </w:p>
        </w:tc>
      </w:tr>
      <w:tr>
        <w:trPr>
          <w:trHeight w:val="216"/>
        </w:trPr>
        <w:tc>
          <w:tcPr>
            <w:tcW w:w="400" w:type="dxa"/>
            <w:vAlign w:val="bottom"/>
          </w:tcPr>
          <w:p>
            <w:pPr>
              <w:jc w:val="center"/>
              <w:ind w:right="81"/>
              <w:spacing w:after="0"/>
              <w:rPr>
                <w:sz w:val="20"/>
                <w:szCs w:val="20"/>
                <w:color w:val="auto"/>
              </w:rPr>
            </w:pPr>
            <w:r>
              <w:rPr>
                <w:rFonts w:ascii="Arial" w:cs="Arial" w:eastAsia="Arial" w:hAnsi="Arial"/>
                <w:sz w:val="14"/>
                <w:szCs w:val="14"/>
                <w:color w:val="auto"/>
              </w:rPr>
              <w:t>**</w:t>
            </w: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80"/>
              <w:spacing w:after="0"/>
              <w:rPr>
                <w:sz w:val="20"/>
                <w:szCs w:val="20"/>
                <w:color w:val="auto"/>
              </w:rPr>
            </w:pPr>
            <w:r>
              <w:rPr>
                <w:rFonts w:ascii="Arial" w:cs="Arial" w:eastAsia="Arial" w:hAnsi="Arial"/>
                <w:sz w:val="16"/>
                <w:szCs w:val="16"/>
                <w:color w:val="auto"/>
              </w:rPr>
              <w:t>Institutional High Yield Bond R6</w:t>
            </w:r>
          </w:p>
        </w:tc>
      </w:tr>
      <w:tr>
        <w:trPr>
          <w:trHeight w:val="235"/>
        </w:trPr>
        <w:tc>
          <w:tcPr>
            <w:tcW w:w="400" w:type="dxa"/>
            <w:vAlign w:val="bottom"/>
          </w:tcPr>
          <w:p>
            <w:pPr>
              <w:jc w:val="center"/>
              <w:ind w:right="101"/>
              <w:spacing w:after="0"/>
              <w:rPr>
                <w:sz w:val="20"/>
                <w:szCs w:val="20"/>
                <w:color w:val="auto"/>
              </w:rPr>
            </w:pPr>
            <w:r>
              <w:rPr>
                <w:rFonts w:ascii="Arial" w:cs="Arial" w:eastAsia="Arial" w:hAnsi="Arial"/>
                <w:sz w:val="18"/>
                <w:szCs w:val="18"/>
                <w:color w:val="auto"/>
              </w:rPr>
              <w:t>**</w:t>
            </w: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80"/>
              <w:spacing w:after="0"/>
              <w:rPr>
                <w:sz w:val="20"/>
                <w:szCs w:val="20"/>
                <w:color w:val="auto"/>
              </w:rPr>
            </w:pPr>
            <w:r>
              <w:rPr>
                <w:rFonts w:ascii="Arial" w:cs="Arial" w:eastAsia="Arial" w:hAnsi="Arial"/>
                <w:sz w:val="16"/>
                <w:szCs w:val="16"/>
                <w:color w:val="auto"/>
              </w:rPr>
              <w:t>Small Cap FD R6FKALX</w:t>
            </w:r>
          </w:p>
        </w:tc>
      </w:tr>
      <w:tr>
        <w:trPr>
          <w:trHeight w:val="230"/>
        </w:trPr>
        <w:tc>
          <w:tcPr>
            <w:tcW w:w="400" w:type="dxa"/>
            <w:vAlign w:val="bottom"/>
          </w:tcPr>
          <w:p>
            <w:pPr>
              <w:jc w:val="center"/>
              <w:ind w:right="101"/>
              <w:spacing w:after="0"/>
              <w:rPr>
                <w:sz w:val="20"/>
                <w:szCs w:val="20"/>
                <w:color w:val="auto"/>
              </w:rPr>
            </w:pPr>
            <w:r>
              <w:rPr>
                <w:rFonts w:ascii="Arial" w:cs="Arial" w:eastAsia="Arial" w:hAnsi="Arial"/>
                <w:sz w:val="18"/>
                <w:szCs w:val="18"/>
                <w:color w:val="auto"/>
              </w:rPr>
              <w:t>**</w:t>
            </w: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80"/>
              <w:spacing w:after="0"/>
              <w:rPr>
                <w:sz w:val="20"/>
                <w:szCs w:val="20"/>
                <w:color w:val="auto"/>
              </w:rPr>
            </w:pPr>
            <w:r>
              <w:rPr>
                <w:rFonts w:ascii="Arial" w:cs="Arial" w:eastAsia="Arial" w:hAnsi="Arial"/>
                <w:sz w:val="16"/>
                <w:szCs w:val="16"/>
                <w:color w:val="auto"/>
              </w:rPr>
              <w:t>Total Return Bond R6</w:t>
            </w:r>
          </w:p>
        </w:tc>
      </w:tr>
      <w:tr>
        <w:trPr>
          <w:trHeight w:val="210"/>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Hartford</w:t>
            </w:r>
          </w:p>
        </w:tc>
        <w:tc>
          <w:tcPr>
            <w:tcW w:w="3380" w:type="dxa"/>
            <w:vAlign w:val="bottom"/>
          </w:tcPr>
          <w:p>
            <w:pPr>
              <w:ind w:left="680"/>
              <w:spacing w:after="0"/>
              <w:rPr>
                <w:sz w:val="20"/>
                <w:szCs w:val="20"/>
                <w:color w:val="auto"/>
              </w:rPr>
            </w:pPr>
            <w:r>
              <w:rPr>
                <w:rFonts w:ascii="Arial" w:cs="Arial" w:eastAsia="Arial" w:hAnsi="Arial"/>
                <w:sz w:val="16"/>
                <w:szCs w:val="16"/>
                <w:color w:val="auto"/>
              </w:rPr>
              <w:t>Dividend and Growth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John Hancock</w:t>
            </w:r>
          </w:p>
        </w:tc>
        <w:tc>
          <w:tcPr>
            <w:tcW w:w="3380" w:type="dxa"/>
            <w:vAlign w:val="bottom"/>
          </w:tcPr>
          <w:p>
            <w:pPr>
              <w:ind w:left="680"/>
              <w:spacing w:after="0"/>
              <w:rPr>
                <w:sz w:val="20"/>
                <w:szCs w:val="20"/>
                <w:color w:val="auto"/>
              </w:rPr>
            </w:pPr>
            <w:r>
              <w:rPr>
                <w:rFonts w:ascii="Arial" w:cs="Arial" w:eastAsia="Arial" w:hAnsi="Arial"/>
                <w:sz w:val="16"/>
                <w:szCs w:val="16"/>
                <w:color w:val="auto"/>
              </w:rPr>
              <w:t>International Growth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3380" w:type="dxa"/>
            <w:vAlign w:val="bottom"/>
          </w:tcPr>
          <w:p>
            <w:pPr>
              <w:ind w:left="680"/>
              <w:spacing w:after="0"/>
              <w:rPr>
                <w:sz w:val="20"/>
                <w:szCs w:val="20"/>
                <w:color w:val="auto"/>
              </w:rPr>
            </w:pPr>
            <w:r>
              <w:rPr>
                <w:rFonts w:ascii="Arial" w:cs="Arial" w:eastAsia="Arial" w:hAnsi="Arial"/>
                <w:sz w:val="16"/>
                <w:szCs w:val="16"/>
                <w:color w:val="auto"/>
              </w:rPr>
              <w:t>Equity Income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3380" w:type="dxa"/>
            <w:vAlign w:val="bottom"/>
          </w:tcPr>
          <w:p>
            <w:pPr>
              <w:ind w:left="680"/>
              <w:spacing w:after="0"/>
              <w:rPr>
                <w:sz w:val="20"/>
                <w:szCs w:val="20"/>
                <w:color w:val="auto"/>
              </w:rPr>
            </w:pPr>
            <w:r>
              <w:rPr>
                <w:rFonts w:ascii="Arial" w:cs="Arial" w:eastAsia="Arial" w:hAnsi="Arial"/>
                <w:sz w:val="16"/>
                <w:szCs w:val="16"/>
                <w:color w:val="auto"/>
              </w:rPr>
              <w:t>Growth Advantage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3380" w:type="dxa"/>
            <w:vAlign w:val="bottom"/>
          </w:tcPr>
          <w:p>
            <w:pPr>
              <w:ind w:left="680"/>
              <w:spacing w:after="0"/>
              <w:rPr>
                <w:sz w:val="20"/>
                <w:szCs w:val="20"/>
                <w:color w:val="auto"/>
              </w:rPr>
            </w:pPr>
            <w:r>
              <w:rPr>
                <w:rFonts w:ascii="Arial" w:cs="Arial" w:eastAsia="Arial" w:hAnsi="Arial"/>
                <w:sz w:val="16"/>
                <w:szCs w:val="16"/>
                <w:color w:val="auto"/>
              </w:rPr>
              <w:t>Hedged Equity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3380" w:type="dxa"/>
            <w:vAlign w:val="bottom"/>
          </w:tcPr>
          <w:p>
            <w:pPr>
              <w:ind w:left="680"/>
              <w:spacing w:after="0"/>
              <w:rPr>
                <w:sz w:val="20"/>
                <w:szCs w:val="20"/>
                <w:color w:val="auto"/>
              </w:rPr>
            </w:pPr>
            <w:r>
              <w:rPr>
                <w:rFonts w:ascii="Arial" w:cs="Arial" w:eastAsia="Arial" w:hAnsi="Arial"/>
                <w:sz w:val="16"/>
                <w:szCs w:val="16"/>
                <w:color w:val="auto"/>
                <w:w w:val="92"/>
              </w:rPr>
              <w:t>Undiscovered MGRS Behavioral Value 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Metropolitan West</w:t>
            </w:r>
          </w:p>
        </w:tc>
        <w:tc>
          <w:tcPr>
            <w:tcW w:w="3380" w:type="dxa"/>
            <w:vAlign w:val="bottom"/>
          </w:tcPr>
          <w:p>
            <w:pPr>
              <w:ind w:left="680"/>
              <w:spacing w:after="0"/>
              <w:rPr>
                <w:sz w:val="20"/>
                <w:szCs w:val="20"/>
                <w:color w:val="auto"/>
              </w:rPr>
            </w:pPr>
            <w:r>
              <w:rPr>
                <w:rFonts w:ascii="Arial" w:cs="Arial" w:eastAsia="Arial" w:hAnsi="Arial"/>
                <w:sz w:val="16"/>
                <w:szCs w:val="16"/>
                <w:color w:val="auto"/>
              </w:rPr>
              <w:t>Total Return Bond - I</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MFS</w:t>
            </w:r>
          </w:p>
        </w:tc>
        <w:tc>
          <w:tcPr>
            <w:tcW w:w="3380" w:type="dxa"/>
            <w:vAlign w:val="bottom"/>
          </w:tcPr>
          <w:p>
            <w:pPr>
              <w:ind w:left="680"/>
              <w:spacing w:after="0"/>
              <w:rPr>
                <w:sz w:val="20"/>
                <w:szCs w:val="20"/>
                <w:color w:val="auto"/>
              </w:rPr>
            </w:pPr>
            <w:r>
              <w:rPr>
                <w:rFonts w:ascii="Arial" w:cs="Arial" w:eastAsia="Arial" w:hAnsi="Arial"/>
                <w:sz w:val="16"/>
                <w:szCs w:val="16"/>
                <w:color w:val="auto"/>
              </w:rPr>
              <w:t>Mid Cap Growth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MFS</w:t>
            </w:r>
          </w:p>
        </w:tc>
        <w:tc>
          <w:tcPr>
            <w:tcW w:w="3380" w:type="dxa"/>
            <w:vAlign w:val="bottom"/>
          </w:tcPr>
          <w:p>
            <w:pPr>
              <w:ind w:left="680"/>
              <w:spacing w:after="0"/>
              <w:rPr>
                <w:sz w:val="20"/>
                <w:szCs w:val="20"/>
                <w:color w:val="auto"/>
              </w:rPr>
            </w:pPr>
            <w:r>
              <w:rPr>
                <w:rFonts w:ascii="Arial" w:cs="Arial" w:eastAsia="Arial" w:hAnsi="Arial"/>
                <w:sz w:val="16"/>
                <w:szCs w:val="16"/>
                <w:color w:val="auto"/>
              </w:rPr>
              <w:t>Mid Cap Value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Oppenheimer</w:t>
            </w:r>
          </w:p>
        </w:tc>
        <w:tc>
          <w:tcPr>
            <w:tcW w:w="3380" w:type="dxa"/>
            <w:vAlign w:val="bottom"/>
          </w:tcPr>
          <w:p>
            <w:pPr>
              <w:ind w:left="680"/>
              <w:spacing w:after="0"/>
              <w:rPr>
                <w:sz w:val="20"/>
                <w:szCs w:val="20"/>
                <w:color w:val="auto"/>
              </w:rPr>
            </w:pPr>
            <w:r>
              <w:rPr>
                <w:rFonts w:ascii="Arial" w:cs="Arial" w:eastAsia="Arial" w:hAnsi="Arial"/>
                <w:sz w:val="16"/>
                <w:szCs w:val="16"/>
                <w:color w:val="auto"/>
              </w:rPr>
              <w:t>International Small-Mid Co YOSMYX</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 Rowe Price</w:t>
            </w:r>
          </w:p>
        </w:tc>
        <w:tc>
          <w:tcPr>
            <w:tcW w:w="3380" w:type="dxa"/>
            <w:vAlign w:val="bottom"/>
          </w:tcPr>
          <w:p>
            <w:pPr>
              <w:ind w:left="680"/>
              <w:spacing w:after="0"/>
              <w:rPr>
                <w:sz w:val="20"/>
                <w:szCs w:val="20"/>
                <w:color w:val="auto"/>
              </w:rPr>
            </w:pPr>
            <w:r>
              <w:rPr>
                <w:rFonts w:ascii="Arial" w:cs="Arial" w:eastAsia="Arial" w:hAnsi="Arial"/>
                <w:sz w:val="16"/>
                <w:szCs w:val="16"/>
                <w:color w:val="auto"/>
              </w:rPr>
              <w:t>Blue Chip Growth</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 Rowe Price</w:t>
            </w:r>
          </w:p>
        </w:tc>
        <w:tc>
          <w:tcPr>
            <w:tcW w:w="3380" w:type="dxa"/>
            <w:vAlign w:val="bottom"/>
          </w:tcPr>
          <w:p>
            <w:pPr>
              <w:ind w:left="680"/>
              <w:spacing w:after="0"/>
              <w:rPr>
                <w:sz w:val="20"/>
                <w:szCs w:val="20"/>
                <w:color w:val="auto"/>
              </w:rPr>
            </w:pPr>
            <w:r>
              <w:rPr>
                <w:rFonts w:ascii="Arial" w:cs="Arial" w:eastAsia="Arial" w:hAnsi="Arial"/>
                <w:sz w:val="16"/>
                <w:szCs w:val="16"/>
                <w:color w:val="auto"/>
              </w:rPr>
              <w:t>Emerging Markets Stock I</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Developed Markets Index Admiral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Large Cap Index Admiral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Mid Cap Index Admiral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Small Cap Index Fund Admiral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Total Intl Stock Index Admiral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3380" w:type="dxa"/>
            <w:vAlign w:val="bottom"/>
          </w:tcPr>
          <w:p>
            <w:pPr>
              <w:ind w:left="680"/>
              <w:spacing w:after="0"/>
              <w:rPr>
                <w:sz w:val="20"/>
                <w:szCs w:val="20"/>
                <w:color w:val="auto"/>
              </w:rPr>
            </w:pPr>
            <w:r>
              <w:rPr>
                <w:rFonts w:ascii="Arial" w:cs="Arial" w:eastAsia="Arial" w:hAnsi="Arial"/>
                <w:sz w:val="16"/>
                <w:szCs w:val="16"/>
                <w:color w:val="auto"/>
              </w:rPr>
              <w:t>Total Stock MRK Index Admiral</w:t>
            </w:r>
          </w:p>
        </w:tc>
      </w:tr>
      <w:tr>
        <w:trPr>
          <w:trHeight w:val="500"/>
        </w:trPr>
        <w:tc>
          <w:tcPr>
            <w:tcW w:w="4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Separately managed accounts (fund of funds)</w:t>
            </w:r>
          </w:p>
        </w:tc>
        <w:tc>
          <w:tcPr>
            <w:tcW w:w="3380" w:type="dxa"/>
            <w:vAlign w:val="bottom"/>
          </w:tcPr>
          <w:p>
            <w:pPr>
              <w:spacing w:after="0"/>
              <w:rPr>
                <w:sz w:val="24"/>
                <w:szCs w:val="24"/>
                <w:color w:val="auto"/>
              </w:rPr>
            </w:pPr>
          </w:p>
        </w:tc>
      </w:tr>
      <w:tr>
        <w:trPr>
          <w:trHeight w:val="235"/>
        </w:trPr>
        <w:tc>
          <w:tcPr>
            <w:tcW w:w="400" w:type="dxa"/>
            <w:vAlign w:val="bottom"/>
          </w:tcPr>
          <w:p>
            <w:pPr>
              <w:jc w:val="center"/>
              <w:ind w:right="81"/>
              <w:spacing w:after="0"/>
              <w:rPr>
                <w:sz w:val="20"/>
                <w:szCs w:val="20"/>
                <w:color w:val="auto"/>
              </w:rPr>
            </w:pPr>
            <w:r>
              <w:rPr>
                <w:rFonts w:ascii="Arial" w:cs="Arial" w:eastAsia="Arial" w:hAnsi="Arial"/>
                <w:sz w:val="14"/>
                <w:szCs w:val="14"/>
                <w:color w:val="auto"/>
              </w:rPr>
              <w:t>*/**</w:t>
            </w:r>
          </w:p>
        </w:tc>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Renasant Bank Income Account:</w:t>
            </w:r>
          </w:p>
        </w:tc>
        <w:tc>
          <w:tcPr>
            <w:tcW w:w="3380" w:type="dxa"/>
            <w:vAlign w:val="bottom"/>
          </w:tcPr>
          <w:p>
            <w:pPr>
              <w:spacing w:after="0"/>
              <w:rPr>
                <w:sz w:val="20"/>
                <w:szCs w:val="20"/>
                <w:color w:val="auto"/>
              </w:rPr>
            </w:pPr>
          </w:p>
        </w:tc>
      </w:tr>
      <w:tr>
        <w:trPr>
          <w:trHeight w:val="230"/>
        </w:trPr>
        <w:tc>
          <w:tcPr>
            <w:tcW w:w="40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Baird</w:t>
            </w:r>
          </w:p>
        </w:tc>
        <w:tc>
          <w:tcPr>
            <w:tcW w:w="1400" w:type="dxa"/>
            <w:vAlign w:val="bottom"/>
          </w:tcPr>
          <w:p>
            <w:pPr>
              <w:spacing w:after="0"/>
              <w:rPr>
                <w:sz w:val="20"/>
                <w:szCs w:val="20"/>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Core Plus Bond Institutional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40"/>
              <w:spacing w:after="0"/>
              <w:rPr>
                <w:sz w:val="20"/>
                <w:szCs w:val="20"/>
                <w:color w:val="auto"/>
              </w:rPr>
            </w:pPr>
            <w:r>
              <w:rPr>
                <w:rFonts w:ascii="Arial" w:cs="Arial" w:eastAsia="Arial" w:hAnsi="Arial"/>
                <w:sz w:val="16"/>
                <w:szCs w:val="16"/>
                <w:color w:val="auto"/>
              </w:rPr>
              <w:t>Government Obligation Premier</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40"/>
              <w:spacing w:after="0"/>
              <w:rPr>
                <w:sz w:val="20"/>
                <w:szCs w:val="20"/>
                <w:color w:val="auto"/>
              </w:rPr>
            </w:pPr>
            <w:r>
              <w:rPr>
                <w:rFonts w:ascii="Arial" w:cs="Arial" w:eastAsia="Arial" w:hAnsi="Arial"/>
                <w:sz w:val="16"/>
                <w:szCs w:val="16"/>
                <w:color w:val="auto"/>
              </w:rPr>
              <w:t>Hermes Kaufman Small</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40"/>
              <w:spacing w:after="0"/>
              <w:rPr>
                <w:sz w:val="20"/>
                <w:szCs w:val="20"/>
                <w:color w:val="auto"/>
              </w:rPr>
            </w:pPr>
            <w:r>
              <w:rPr>
                <w:rFonts w:ascii="Arial" w:cs="Arial" w:eastAsia="Arial" w:hAnsi="Arial"/>
                <w:sz w:val="16"/>
                <w:szCs w:val="16"/>
                <w:color w:val="auto"/>
              </w:rPr>
              <w:t>Institutional High Yield Bond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3380" w:type="dxa"/>
            <w:vAlign w:val="bottom"/>
          </w:tcPr>
          <w:p>
            <w:pPr>
              <w:ind w:left="640"/>
              <w:spacing w:after="0"/>
              <w:rPr>
                <w:sz w:val="20"/>
                <w:szCs w:val="20"/>
                <w:color w:val="auto"/>
              </w:rPr>
            </w:pPr>
            <w:r>
              <w:rPr>
                <w:rFonts w:ascii="Arial" w:cs="Arial" w:eastAsia="Arial" w:hAnsi="Arial"/>
                <w:sz w:val="16"/>
                <w:szCs w:val="16"/>
                <w:color w:val="auto"/>
              </w:rPr>
              <w:t>Total Return Bond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First Eagle</w:t>
            </w:r>
          </w:p>
        </w:tc>
        <w:tc>
          <w:tcPr>
            <w:tcW w:w="3380" w:type="dxa"/>
            <w:vAlign w:val="bottom"/>
          </w:tcPr>
          <w:p>
            <w:pPr>
              <w:ind w:left="640"/>
              <w:spacing w:after="0"/>
              <w:rPr>
                <w:sz w:val="20"/>
                <w:szCs w:val="20"/>
                <w:color w:val="auto"/>
              </w:rPr>
            </w:pPr>
            <w:r>
              <w:rPr>
                <w:rFonts w:ascii="Arial" w:cs="Arial" w:eastAsia="Arial" w:hAnsi="Arial"/>
                <w:sz w:val="16"/>
                <w:szCs w:val="16"/>
                <w:color w:val="auto"/>
              </w:rPr>
              <w:t>Global I</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Hartford</w:t>
            </w:r>
          </w:p>
        </w:tc>
        <w:tc>
          <w:tcPr>
            <w:tcW w:w="3380" w:type="dxa"/>
            <w:vAlign w:val="bottom"/>
          </w:tcPr>
          <w:p>
            <w:pPr>
              <w:ind w:left="640"/>
              <w:spacing w:after="0"/>
              <w:rPr>
                <w:sz w:val="20"/>
                <w:szCs w:val="20"/>
                <w:color w:val="auto"/>
              </w:rPr>
            </w:pPr>
            <w:r>
              <w:rPr>
                <w:rFonts w:ascii="Arial" w:cs="Arial" w:eastAsia="Arial" w:hAnsi="Arial"/>
                <w:sz w:val="16"/>
                <w:szCs w:val="16"/>
                <w:color w:val="auto"/>
              </w:rPr>
              <w:t>Dividend &amp; Growth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MFS</w:t>
            </w:r>
          </w:p>
        </w:tc>
        <w:tc>
          <w:tcPr>
            <w:tcW w:w="3380" w:type="dxa"/>
            <w:vAlign w:val="bottom"/>
          </w:tcPr>
          <w:p>
            <w:pPr>
              <w:ind w:left="640"/>
              <w:spacing w:after="0"/>
              <w:rPr>
                <w:sz w:val="20"/>
                <w:szCs w:val="20"/>
                <w:color w:val="auto"/>
              </w:rPr>
            </w:pPr>
            <w:r>
              <w:rPr>
                <w:rFonts w:ascii="Arial" w:cs="Arial" w:eastAsia="Arial" w:hAnsi="Arial"/>
                <w:sz w:val="16"/>
                <w:szCs w:val="16"/>
                <w:color w:val="auto"/>
              </w:rPr>
              <w:t>Mid Cap Growth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MFS</w:t>
            </w:r>
          </w:p>
        </w:tc>
        <w:tc>
          <w:tcPr>
            <w:tcW w:w="3380" w:type="dxa"/>
            <w:vAlign w:val="bottom"/>
          </w:tcPr>
          <w:p>
            <w:pPr>
              <w:ind w:left="640"/>
              <w:spacing w:after="0"/>
              <w:rPr>
                <w:sz w:val="20"/>
                <w:szCs w:val="20"/>
                <w:color w:val="auto"/>
              </w:rPr>
            </w:pPr>
            <w:r>
              <w:rPr>
                <w:rFonts w:ascii="Arial" w:cs="Arial" w:eastAsia="Arial" w:hAnsi="Arial"/>
                <w:sz w:val="16"/>
                <w:szCs w:val="16"/>
                <w:color w:val="auto"/>
              </w:rPr>
              <w:t>Mid Cap Value R6</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Oppenheimer</w:t>
            </w:r>
          </w:p>
        </w:tc>
        <w:tc>
          <w:tcPr>
            <w:tcW w:w="3380" w:type="dxa"/>
            <w:vAlign w:val="bottom"/>
          </w:tcPr>
          <w:p>
            <w:pPr>
              <w:ind w:left="640"/>
              <w:spacing w:after="0"/>
              <w:rPr>
                <w:sz w:val="20"/>
                <w:szCs w:val="20"/>
                <w:color w:val="auto"/>
              </w:rPr>
            </w:pPr>
            <w:r>
              <w:rPr>
                <w:rFonts w:ascii="Arial" w:cs="Arial" w:eastAsia="Arial" w:hAnsi="Arial"/>
                <w:sz w:val="16"/>
                <w:szCs w:val="16"/>
                <w:color w:val="auto"/>
              </w:rPr>
              <w:t>International Small-Mid Company</w:t>
            </w:r>
          </w:p>
        </w:tc>
      </w:tr>
      <w:tr>
        <w:trPr>
          <w:trHeight w:val="216"/>
        </w:trPr>
        <w:tc>
          <w:tcPr>
            <w:tcW w:w="4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Pimco</w:t>
            </w:r>
          </w:p>
        </w:tc>
        <w:tc>
          <w:tcPr>
            <w:tcW w:w="3380" w:type="dxa"/>
            <w:vAlign w:val="bottom"/>
          </w:tcPr>
          <w:p>
            <w:pPr>
              <w:ind w:left="640"/>
              <w:spacing w:after="0"/>
              <w:rPr>
                <w:sz w:val="20"/>
                <w:szCs w:val="20"/>
                <w:color w:val="auto"/>
              </w:rPr>
            </w:pPr>
            <w:r>
              <w:rPr>
                <w:rFonts w:ascii="Arial" w:cs="Arial" w:eastAsia="Arial" w:hAnsi="Arial"/>
                <w:sz w:val="16"/>
                <w:szCs w:val="16"/>
                <w:color w:val="auto"/>
              </w:rPr>
              <w:t>Income Institutional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-5027295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-4752975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-4461510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-4187190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-3912870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-3364230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-3089910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-2815590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-2541270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-1641475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-1367155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-1092835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-1992630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10"/>
        </w:trPr>
        <w:tc>
          <w:tcPr>
            <w:tcW w:w="600" w:type="dxa"/>
            <w:vAlign w:val="bottom"/>
          </w:tcPr>
          <w:p>
            <w:pPr>
              <w:jc w:val="right"/>
              <w:ind w:right="20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2,325</w:t>
            </w:r>
          </w:p>
        </w:tc>
      </w:tr>
    </w:tbl>
    <w:p>
      <w:pPr>
        <w:ind w:left="900" w:hanging="867"/>
        <w:spacing w:after="0" w:line="180" w:lineRule="auto"/>
        <w:tabs>
          <w:tab w:leader="none" w:pos="900"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18,002</w:t>
      </w:r>
    </w:p>
    <w:p>
      <w:pPr>
        <w:spacing w:after="0" w:line="13" w:lineRule="exact"/>
        <w:rPr>
          <w:rFonts w:ascii="Arial" w:cs="Arial" w:eastAsia="Arial" w:hAnsi="Arial"/>
          <w:sz w:val="25"/>
          <w:szCs w:val="25"/>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1,357</w:t>
      </w:r>
    </w:p>
    <w:p>
      <w:pPr>
        <w:spacing w:after="0" w:line="13" w:lineRule="exact"/>
        <w:rPr>
          <w:rFonts w:ascii="Arial" w:cs="Arial" w:eastAsia="Arial" w:hAnsi="Arial"/>
          <w:sz w:val="23"/>
          <w:szCs w:val="23"/>
          <w:color w:val="auto"/>
          <w:vertAlign w:val="superscript"/>
        </w:rPr>
      </w:pPr>
    </w:p>
    <w:p>
      <w:pPr>
        <w:ind w:left="920" w:hanging="887"/>
        <w:spacing w:after="0" w:line="184" w:lineRule="auto"/>
        <w:tabs>
          <w:tab w:leader="none" w:pos="92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5,642</w:t>
      </w:r>
    </w:p>
    <w:p>
      <w:pPr>
        <w:spacing w:after="0" w:line="26"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1,007</w:t>
      </w:r>
    </w:p>
    <w:p>
      <w:pPr>
        <w:spacing w:after="0" w:line="26"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1,219</w:t>
      </w:r>
    </w:p>
    <w:p>
      <w:pPr>
        <w:spacing w:after="0" w:line="13" w:lineRule="exact"/>
        <w:rPr>
          <w:rFonts w:ascii="Arial" w:cs="Arial" w:eastAsia="Arial" w:hAnsi="Arial"/>
          <w:sz w:val="23"/>
          <w:szCs w:val="23"/>
          <w:color w:val="auto"/>
          <w:vertAlign w:val="superscript"/>
        </w:rPr>
      </w:pPr>
    </w:p>
    <w:p>
      <w:pPr>
        <w:ind w:left="1100" w:hanging="1067"/>
        <w:spacing w:after="0"/>
        <w:tabs>
          <w:tab w:leader="none" w:pos="1100" w:val="left"/>
        </w:tabs>
        <w:numPr>
          <w:ilvl w:val="0"/>
          <w:numId w:val="1"/>
        </w:numPr>
        <w:rPr>
          <w:rFonts w:ascii="Arial" w:cs="Arial" w:eastAsia="Arial" w:hAnsi="Arial"/>
          <w:sz w:val="13"/>
          <w:szCs w:val="13"/>
          <w:color w:val="auto"/>
        </w:rPr>
      </w:pPr>
      <w:r>
        <w:rPr>
          <w:rFonts w:ascii="Arial" w:cs="Arial" w:eastAsia="Arial" w:hAnsi="Arial"/>
          <w:sz w:val="14"/>
          <w:szCs w:val="14"/>
          <w:color w:val="auto"/>
        </w:rPr>
        <w:t>560</w:t>
      </w:r>
    </w:p>
    <w:p>
      <w:pPr>
        <w:spacing w:after="0" w:line="42" w:lineRule="exact"/>
        <w:rPr>
          <w:rFonts w:ascii="Arial" w:cs="Arial" w:eastAsia="Arial" w:hAnsi="Arial"/>
          <w:sz w:val="13"/>
          <w:szCs w:val="13"/>
          <w:color w:val="auto"/>
        </w:rPr>
      </w:pPr>
    </w:p>
    <w:p>
      <w:pPr>
        <w:ind w:left="940" w:hanging="907"/>
        <w:spacing w:after="0" w:line="180" w:lineRule="auto"/>
        <w:tabs>
          <w:tab w:leader="none" w:pos="940"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3,811</w:t>
      </w:r>
    </w:p>
    <w:p>
      <w:pPr>
        <w:spacing w:after="0" w:line="13" w:lineRule="exact"/>
        <w:rPr>
          <w:rFonts w:ascii="Arial" w:cs="Arial" w:eastAsia="Arial" w:hAnsi="Arial"/>
          <w:sz w:val="25"/>
          <w:szCs w:val="25"/>
          <w:color w:val="auto"/>
          <w:vertAlign w:val="superscript"/>
        </w:rPr>
      </w:pPr>
    </w:p>
    <w:p>
      <w:pPr>
        <w:ind w:left="900" w:hanging="867"/>
        <w:spacing w:after="0" w:line="184" w:lineRule="auto"/>
        <w:tabs>
          <w:tab w:leader="none" w:pos="90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14,730</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2,038</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2,131</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5,671</w:t>
      </w:r>
    </w:p>
    <w:p>
      <w:pPr>
        <w:spacing w:after="0" w:line="13" w:lineRule="exact"/>
        <w:rPr>
          <w:rFonts w:ascii="Arial" w:cs="Arial" w:eastAsia="Arial" w:hAnsi="Arial"/>
          <w:sz w:val="23"/>
          <w:szCs w:val="23"/>
          <w:color w:val="auto"/>
          <w:vertAlign w:val="superscript"/>
        </w:rPr>
      </w:pPr>
    </w:p>
    <w:p>
      <w:pPr>
        <w:ind w:left="920" w:hanging="887"/>
        <w:spacing w:after="0" w:line="184" w:lineRule="auto"/>
        <w:tabs>
          <w:tab w:leader="none" w:pos="92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6,583</w:t>
      </w:r>
    </w:p>
    <w:p>
      <w:pPr>
        <w:spacing w:after="0" w:line="13" w:lineRule="exact"/>
        <w:rPr>
          <w:rFonts w:ascii="Arial" w:cs="Arial" w:eastAsia="Arial" w:hAnsi="Arial"/>
          <w:sz w:val="23"/>
          <w:szCs w:val="23"/>
          <w:color w:val="auto"/>
          <w:vertAlign w:val="superscript"/>
        </w:rPr>
      </w:pPr>
    </w:p>
    <w:p>
      <w:pPr>
        <w:ind w:left="920" w:hanging="887"/>
        <w:spacing w:after="0" w:line="184" w:lineRule="auto"/>
        <w:tabs>
          <w:tab w:leader="none" w:pos="92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1,871</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5,206</w:t>
      </w:r>
    </w:p>
    <w:p>
      <w:pPr>
        <w:spacing w:after="0" w:line="13" w:lineRule="exact"/>
        <w:rPr>
          <w:rFonts w:ascii="Arial" w:cs="Arial" w:eastAsia="Arial" w:hAnsi="Arial"/>
          <w:sz w:val="23"/>
          <w:szCs w:val="23"/>
          <w:color w:val="auto"/>
          <w:vertAlign w:val="superscript"/>
        </w:rPr>
      </w:pPr>
    </w:p>
    <w:p>
      <w:pPr>
        <w:ind w:left="900" w:hanging="867"/>
        <w:spacing w:after="0" w:line="184" w:lineRule="auto"/>
        <w:tabs>
          <w:tab w:leader="none" w:pos="90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10,028</w:t>
      </w:r>
    </w:p>
    <w:p>
      <w:pPr>
        <w:spacing w:after="0" w:line="13" w:lineRule="exact"/>
        <w:rPr>
          <w:rFonts w:ascii="Arial" w:cs="Arial" w:eastAsia="Arial" w:hAnsi="Arial"/>
          <w:sz w:val="23"/>
          <w:szCs w:val="23"/>
          <w:color w:val="auto"/>
          <w:vertAlign w:val="superscript"/>
        </w:rPr>
      </w:pPr>
    </w:p>
    <w:p>
      <w:pPr>
        <w:ind w:left="1100" w:hanging="1067"/>
        <w:spacing w:after="0" w:line="184" w:lineRule="auto"/>
        <w:tabs>
          <w:tab w:leader="none" w:pos="110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730</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2,979</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5,467</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3,898</w:t>
      </w:r>
    </w:p>
    <w:p>
      <w:pPr>
        <w:spacing w:after="0" w:line="13" w:lineRule="exact"/>
        <w:rPr>
          <w:rFonts w:ascii="Arial" w:cs="Arial" w:eastAsia="Arial" w:hAnsi="Arial"/>
          <w:sz w:val="23"/>
          <w:szCs w:val="23"/>
          <w:color w:val="auto"/>
          <w:vertAlign w:val="superscript"/>
        </w:rPr>
      </w:pPr>
    </w:p>
    <w:p>
      <w:pPr>
        <w:ind w:left="980" w:hanging="947"/>
        <w:spacing w:after="0" w:line="184" w:lineRule="auto"/>
        <w:tabs>
          <w:tab w:leader="none" w:pos="98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4,320</w:t>
      </w:r>
    </w:p>
    <w:p>
      <w:pPr>
        <w:spacing w:after="0" w:line="13" w:lineRule="exact"/>
        <w:rPr>
          <w:rFonts w:ascii="Arial" w:cs="Arial" w:eastAsia="Arial" w:hAnsi="Arial"/>
          <w:sz w:val="23"/>
          <w:szCs w:val="23"/>
          <w:color w:val="auto"/>
          <w:vertAlign w:val="superscript"/>
        </w:rPr>
      </w:pPr>
    </w:p>
    <w:p>
      <w:pPr>
        <w:ind w:left="1100" w:hanging="1067"/>
        <w:spacing w:after="0" w:line="184" w:lineRule="auto"/>
        <w:tabs>
          <w:tab w:leader="none" w:pos="110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204</w:t>
      </w:r>
    </w:p>
    <w:p>
      <w:pPr>
        <w:spacing w:after="0" w:line="13" w:lineRule="exact"/>
        <w:rPr>
          <w:rFonts w:ascii="Arial" w:cs="Arial" w:eastAsia="Arial" w:hAnsi="Arial"/>
          <w:sz w:val="23"/>
          <w:szCs w:val="23"/>
          <w:color w:val="auto"/>
          <w:vertAlign w:val="superscript"/>
        </w:rPr>
      </w:pPr>
    </w:p>
    <w:p>
      <w:pPr>
        <w:ind w:left="900" w:hanging="867"/>
        <w:spacing w:after="0" w:line="184" w:lineRule="auto"/>
        <w:tabs>
          <w:tab w:leader="none" w:pos="90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15,791</w:t>
      </w:r>
    </w:p>
    <w:p>
      <w:pPr>
        <w:spacing w:after="0" w:line="3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115,570</w:t>
      </w:r>
    </w:p>
    <w:p>
      <w:pPr>
        <w:spacing w:after="0" w:line="200" w:lineRule="exact"/>
        <w:rPr>
          <w:sz w:val="20"/>
          <w:szCs w:val="20"/>
          <w:color w:val="auto"/>
        </w:rPr>
      </w:pPr>
    </w:p>
    <w:p>
      <w:pPr>
        <w:spacing w:after="0" w:line="358" w:lineRule="exact"/>
        <w:rPr>
          <w:sz w:val="20"/>
          <w:szCs w:val="20"/>
          <w:color w:val="auto"/>
        </w:rPr>
      </w:pPr>
    </w:p>
    <w:p>
      <w:pPr>
        <w:ind w:left="1100" w:hanging="1094"/>
        <w:spacing w:after="0"/>
        <w:tabs>
          <w:tab w:leader="none" w:pos="1100" w:val="left"/>
        </w:tabs>
        <w:numPr>
          <w:ilvl w:val="0"/>
          <w:numId w:val="2"/>
        </w:numPr>
        <w:rPr>
          <w:rFonts w:ascii="Arial" w:cs="Arial" w:eastAsia="Arial" w:hAnsi="Arial"/>
          <w:sz w:val="14"/>
          <w:szCs w:val="14"/>
          <w:color w:val="auto"/>
        </w:rPr>
      </w:pPr>
      <w:r>
        <w:rPr>
          <w:rFonts w:ascii="Arial" w:cs="Arial" w:eastAsia="Arial" w:hAnsi="Arial"/>
          <w:sz w:val="14"/>
          <w:szCs w:val="14"/>
          <w:color w:val="auto"/>
        </w:rPr>
        <w:t>891</w:t>
      </w:r>
    </w:p>
    <w:p>
      <w:pPr>
        <w:spacing w:after="0" w:line="55" w:lineRule="exact"/>
        <w:rPr>
          <w:rFonts w:ascii="Arial" w:cs="Arial" w:eastAsia="Arial" w:hAnsi="Arial"/>
          <w:sz w:val="14"/>
          <w:szCs w:val="14"/>
          <w:color w:val="auto"/>
        </w:rPr>
      </w:pPr>
    </w:p>
    <w:p>
      <w:pPr>
        <w:ind w:left="980" w:hanging="974"/>
        <w:spacing w:after="0"/>
        <w:tabs>
          <w:tab w:leader="none" w:pos="980" w:val="left"/>
        </w:tabs>
        <w:numPr>
          <w:ilvl w:val="0"/>
          <w:numId w:val="2"/>
        </w:numPr>
        <w:rPr>
          <w:rFonts w:ascii="Arial" w:cs="Arial" w:eastAsia="Arial" w:hAnsi="Arial"/>
          <w:sz w:val="14"/>
          <w:szCs w:val="14"/>
          <w:color w:val="auto"/>
        </w:rPr>
      </w:pPr>
      <w:r>
        <w:rPr>
          <w:rFonts w:ascii="Arial" w:cs="Arial" w:eastAsia="Arial" w:hAnsi="Arial"/>
          <w:sz w:val="14"/>
          <w:szCs w:val="14"/>
          <w:color w:val="auto"/>
        </w:rPr>
        <w:t>1,396</w:t>
      </w:r>
    </w:p>
    <w:p>
      <w:pPr>
        <w:spacing w:after="0" w:line="55" w:lineRule="exact"/>
        <w:rPr>
          <w:rFonts w:ascii="Arial" w:cs="Arial" w:eastAsia="Arial" w:hAnsi="Arial"/>
          <w:sz w:val="14"/>
          <w:szCs w:val="14"/>
          <w:color w:val="auto"/>
        </w:rPr>
      </w:pPr>
    </w:p>
    <w:p>
      <w:pPr>
        <w:ind w:left="1100" w:hanging="1094"/>
        <w:spacing w:after="0"/>
        <w:tabs>
          <w:tab w:leader="none" w:pos="1100" w:val="left"/>
        </w:tabs>
        <w:numPr>
          <w:ilvl w:val="0"/>
          <w:numId w:val="2"/>
        </w:numPr>
        <w:rPr>
          <w:rFonts w:ascii="Arial" w:cs="Arial" w:eastAsia="Arial" w:hAnsi="Arial"/>
          <w:sz w:val="14"/>
          <w:szCs w:val="14"/>
          <w:color w:val="auto"/>
        </w:rPr>
      </w:pPr>
      <w:r>
        <w:rPr>
          <w:rFonts w:ascii="Arial" w:cs="Arial" w:eastAsia="Arial" w:hAnsi="Arial"/>
          <w:sz w:val="14"/>
          <w:szCs w:val="14"/>
          <w:color w:val="auto"/>
        </w:rPr>
        <w:t>186</w:t>
      </w:r>
    </w:p>
    <w:p>
      <w:pPr>
        <w:spacing w:after="0" w:line="55" w:lineRule="exact"/>
        <w:rPr>
          <w:rFonts w:ascii="Arial" w:cs="Arial" w:eastAsia="Arial" w:hAnsi="Arial"/>
          <w:sz w:val="14"/>
          <w:szCs w:val="14"/>
          <w:color w:val="auto"/>
        </w:rPr>
      </w:pPr>
    </w:p>
    <w:p>
      <w:pPr>
        <w:ind w:left="1100" w:hanging="1094"/>
        <w:spacing w:after="0"/>
        <w:tabs>
          <w:tab w:leader="none" w:pos="1100" w:val="left"/>
        </w:tabs>
        <w:numPr>
          <w:ilvl w:val="0"/>
          <w:numId w:val="2"/>
        </w:numPr>
        <w:rPr>
          <w:rFonts w:ascii="Arial" w:cs="Arial" w:eastAsia="Arial" w:hAnsi="Arial"/>
          <w:sz w:val="14"/>
          <w:szCs w:val="14"/>
          <w:color w:val="auto"/>
        </w:rPr>
      </w:pPr>
      <w:r>
        <w:rPr>
          <w:rFonts w:ascii="Arial" w:cs="Arial" w:eastAsia="Arial" w:hAnsi="Arial"/>
          <w:sz w:val="14"/>
          <w:szCs w:val="14"/>
          <w:color w:val="auto"/>
        </w:rPr>
        <w:t>374</w:t>
      </w:r>
    </w:p>
    <w:p>
      <w:pPr>
        <w:spacing w:after="0" w:line="55" w:lineRule="exact"/>
        <w:rPr>
          <w:rFonts w:ascii="Arial" w:cs="Arial" w:eastAsia="Arial" w:hAnsi="Arial"/>
          <w:sz w:val="14"/>
          <w:szCs w:val="14"/>
          <w:color w:val="auto"/>
        </w:rPr>
      </w:pPr>
    </w:p>
    <w:p>
      <w:pPr>
        <w:ind w:left="1100" w:hanging="1094"/>
        <w:spacing w:after="0"/>
        <w:tabs>
          <w:tab w:leader="none" w:pos="1100" w:val="left"/>
        </w:tabs>
        <w:numPr>
          <w:ilvl w:val="0"/>
          <w:numId w:val="2"/>
        </w:numPr>
        <w:rPr>
          <w:rFonts w:ascii="Arial" w:cs="Arial" w:eastAsia="Arial" w:hAnsi="Arial"/>
          <w:sz w:val="14"/>
          <w:szCs w:val="14"/>
          <w:color w:val="auto"/>
        </w:rPr>
      </w:pPr>
      <w:r>
        <w:rPr>
          <w:rFonts w:ascii="Arial" w:cs="Arial" w:eastAsia="Arial" w:hAnsi="Arial"/>
          <w:sz w:val="14"/>
          <w:szCs w:val="14"/>
          <w:color w:val="auto"/>
        </w:rPr>
        <w:t>893</w:t>
      </w:r>
    </w:p>
    <w:p>
      <w:pPr>
        <w:spacing w:after="0" w:line="55" w:lineRule="exact"/>
        <w:rPr>
          <w:rFonts w:ascii="Arial" w:cs="Arial" w:eastAsia="Arial" w:hAnsi="Arial"/>
          <w:sz w:val="14"/>
          <w:szCs w:val="14"/>
          <w:color w:val="auto"/>
        </w:rPr>
      </w:pPr>
    </w:p>
    <w:p>
      <w:pPr>
        <w:ind w:left="1180" w:hanging="1174"/>
        <w:spacing w:after="0"/>
        <w:tabs>
          <w:tab w:leader="none" w:pos="1180" w:val="left"/>
        </w:tabs>
        <w:numPr>
          <w:ilvl w:val="0"/>
          <w:numId w:val="2"/>
        </w:numPr>
        <w:rPr>
          <w:rFonts w:ascii="Arial" w:cs="Arial" w:eastAsia="Arial" w:hAnsi="Arial"/>
          <w:sz w:val="14"/>
          <w:szCs w:val="14"/>
          <w:color w:val="auto"/>
        </w:rPr>
      </w:pPr>
      <w:r>
        <w:rPr>
          <w:rFonts w:ascii="Arial" w:cs="Arial" w:eastAsia="Arial" w:hAnsi="Arial"/>
          <w:sz w:val="14"/>
          <w:szCs w:val="14"/>
          <w:color w:val="auto"/>
        </w:rPr>
        <w:t>93</w:t>
      </w:r>
    </w:p>
    <w:p>
      <w:pPr>
        <w:spacing w:after="0" w:line="55" w:lineRule="exact"/>
        <w:rPr>
          <w:rFonts w:ascii="Arial" w:cs="Arial" w:eastAsia="Arial" w:hAnsi="Arial"/>
          <w:sz w:val="14"/>
          <w:szCs w:val="14"/>
          <w:color w:val="auto"/>
        </w:rPr>
      </w:pPr>
    </w:p>
    <w:p>
      <w:pPr>
        <w:ind w:left="1180" w:hanging="1174"/>
        <w:spacing w:after="0"/>
        <w:tabs>
          <w:tab w:leader="none" w:pos="1180" w:val="left"/>
        </w:tabs>
        <w:numPr>
          <w:ilvl w:val="0"/>
          <w:numId w:val="2"/>
        </w:numPr>
        <w:rPr>
          <w:rFonts w:ascii="Arial" w:cs="Arial" w:eastAsia="Arial" w:hAnsi="Arial"/>
          <w:sz w:val="14"/>
          <w:szCs w:val="14"/>
          <w:color w:val="auto"/>
        </w:rPr>
      </w:pPr>
      <w:r>
        <w:rPr>
          <w:rFonts w:ascii="Arial" w:cs="Arial" w:eastAsia="Arial" w:hAnsi="Arial"/>
          <w:sz w:val="14"/>
          <w:szCs w:val="14"/>
          <w:color w:val="auto"/>
        </w:rPr>
        <w:t>93</w:t>
      </w:r>
    </w:p>
    <w:p>
      <w:pPr>
        <w:spacing w:after="0" w:line="55" w:lineRule="exact"/>
        <w:rPr>
          <w:rFonts w:ascii="Arial" w:cs="Arial" w:eastAsia="Arial" w:hAnsi="Arial"/>
          <w:sz w:val="14"/>
          <w:szCs w:val="14"/>
          <w:color w:val="auto"/>
        </w:rPr>
      </w:pPr>
    </w:p>
    <w:p>
      <w:pPr>
        <w:ind w:left="1180" w:hanging="1174"/>
        <w:spacing w:after="0"/>
        <w:tabs>
          <w:tab w:leader="none" w:pos="1180" w:val="left"/>
        </w:tabs>
        <w:numPr>
          <w:ilvl w:val="0"/>
          <w:numId w:val="2"/>
        </w:numPr>
        <w:rPr>
          <w:rFonts w:ascii="Arial" w:cs="Arial" w:eastAsia="Arial" w:hAnsi="Arial"/>
          <w:sz w:val="14"/>
          <w:szCs w:val="14"/>
          <w:color w:val="auto"/>
        </w:rPr>
      </w:pPr>
      <w:r>
        <w:rPr>
          <w:rFonts w:ascii="Arial" w:cs="Arial" w:eastAsia="Arial" w:hAnsi="Arial"/>
          <w:sz w:val="14"/>
          <w:szCs w:val="14"/>
          <w:color w:val="auto"/>
        </w:rPr>
        <w:t>93</w:t>
      </w:r>
    </w:p>
    <w:p>
      <w:pPr>
        <w:spacing w:after="0" w:line="55" w:lineRule="exact"/>
        <w:rPr>
          <w:rFonts w:ascii="Arial" w:cs="Arial" w:eastAsia="Arial" w:hAnsi="Arial"/>
          <w:sz w:val="14"/>
          <w:szCs w:val="14"/>
          <w:color w:val="auto"/>
        </w:rPr>
      </w:pPr>
    </w:p>
    <w:p>
      <w:pPr>
        <w:ind w:left="1100" w:hanging="1094"/>
        <w:spacing w:after="0"/>
        <w:tabs>
          <w:tab w:leader="none" w:pos="1100" w:val="left"/>
        </w:tabs>
        <w:numPr>
          <w:ilvl w:val="0"/>
          <w:numId w:val="2"/>
        </w:numPr>
        <w:rPr>
          <w:rFonts w:ascii="Arial" w:cs="Arial" w:eastAsia="Arial" w:hAnsi="Arial"/>
          <w:sz w:val="14"/>
          <w:szCs w:val="14"/>
          <w:color w:val="auto"/>
        </w:rPr>
      </w:pPr>
      <w:r>
        <w:rPr>
          <w:rFonts w:ascii="Arial" w:cs="Arial" w:eastAsia="Arial" w:hAnsi="Arial"/>
          <w:sz w:val="14"/>
          <w:szCs w:val="14"/>
          <w:color w:val="auto"/>
        </w:rPr>
        <w:t>279</w:t>
      </w:r>
    </w:p>
    <w:p>
      <w:pPr>
        <w:spacing w:after="0" w:line="55" w:lineRule="exact"/>
        <w:rPr>
          <w:rFonts w:ascii="Arial" w:cs="Arial" w:eastAsia="Arial" w:hAnsi="Arial"/>
          <w:sz w:val="14"/>
          <w:szCs w:val="14"/>
          <w:color w:val="auto"/>
        </w:rPr>
      </w:pPr>
    </w:p>
    <w:p>
      <w:pPr>
        <w:ind w:left="1180" w:hanging="1174"/>
        <w:spacing w:after="0"/>
        <w:tabs>
          <w:tab w:leader="none" w:pos="1180" w:val="left"/>
        </w:tabs>
        <w:numPr>
          <w:ilvl w:val="0"/>
          <w:numId w:val="2"/>
        </w:numPr>
        <w:rPr>
          <w:rFonts w:ascii="Arial" w:cs="Arial" w:eastAsia="Arial" w:hAnsi="Arial"/>
          <w:sz w:val="14"/>
          <w:szCs w:val="14"/>
          <w:color w:val="auto"/>
        </w:rPr>
      </w:pPr>
      <w:r>
        <w:rPr>
          <w:rFonts w:ascii="Arial" w:cs="Arial" w:eastAsia="Arial" w:hAnsi="Arial"/>
          <w:sz w:val="14"/>
          <w:szCs w:val="14"/>
          <w:color w:val="auto"/>
        </w:rPr>
        <w:t>93</w:t>
      </w:r>
    </w:p>
    <w:p>
      <w:pPr>
        <w:spacing w:after="0" w:line="55" w:lineRule="exact"/>
        <w:rPr>
          <w:rFonts w:ascii="Arial" w:cs="Arial" w:eastAsia="Arial" w:hAnsi="Arial"/>
          <w:sz w:val="14"/>
          <w:szCs w:val="14"/>
          <w:color w:val="auto"/>
        </w:rPr>
      </w:pPr>
    </w:p>
    <w:p>
      <w:pPr>
        <w:ind w:left="980" w:hanging="974"/>
        <w:spacing w:after="0"/>
        <w:tabs>
          <w:tab w:leader="none" w:pos="980" w:val="left"/>
        </w:tabs>
        <w:numPr>
          <w:ilvl w:val="0"/>
          <w:numId w:val="2"/>
        </w:numPr>
        <w:rPr>
          <w:rFonts w:ascii="Arial" w:cs="Arial" w:eastAsia="Arial" w:hAnsi="Arial"/>
          <w:sz w:val="14"/>
          <w:szCs w:val="14"/>
          <w:color w:val="auto"/>
        </w:rPr>
      </w:pPr>
      <w:r>
        <w:rPr>
          <w:rFonts w:ascii="Arial" w:cs="Arial" w:eastAsia="Arial" w:hAnsi="Arial"/>
          <w:sz w:val="14"/>
          <w:szCs w:val="14"/>
          <w:color w:val="auto"/>
        </w:rPr>
        <w:t>1,149</w:t>
      </w:r>
    </w:p>
    <w:p>
      <w:pPr>
        <w:spacing w:after="0" w:line="245" w:lineRule="exact"/>
        <w:rPr>
          <w:sz w:val="20"/>
          <w:szCs w:val="20"/>
          <w:color w:val="auto"/>
        </w:rPr>
      </w:pPr>
    </w:p>
    <w:p>
      <w:pPr>
        <w:sectPr>
          <w:pgSz w:w="11900" w:h="16838" w:orient="portrait"/>
          <w:cols w:equalWidth="0" w:num="2">
            <w:col w:w="9160" w:space="720"/>
            <w:col w:w="1360"/>
          </w:cols>
          <w:pgMar w:left="320" w:top="1440" w:right="3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w:t>
            </w:r>
          </w:p>
        </w:tc>
        <w:tc>
          <w:tcPr>
            <w:tcW w:w="39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color w:val="auto"/>
              </w:rPr>
              <w:t>(b) Identity of issuer, borrower, lessor or similar party</w:t>
            </w:r>
          </w:p>
        </w:tc>
        <w:tc>
          <w:tcPr>
            <w:tcW w:w="4620" w:type="dxa"/>
            <w:vAlign w:val="bottom"/>
            <w:tcBorders>
              <w:top w:val="single" w:sz="8" w:color="auto"/>
            </w:tcBorders>
          </w:tcPr>
          <w:p>
            <w:pPr>
              <w:ind w:left="420"/>
              <w:spacing w:after="0" w:line="179" w:lineRule="exact"/>
              <w:rPr>
                <w:sz w:val="20"/>
                <w:szCs w:val="20"/>
                <w:color w:val="auto"/>
              </w:rPr>
            </w:pPr>
            <w:r>
              <w:rPr>
                <w:rFonts w:ascii="Arial" w:cs="Arial" w:eastAsia="Arial" w:hAnsi="Arial"/>
                <w:sz w:val="16"/>
                <w:szCs w:val="16"/>
                <w:color w:val="auto"/>
                <w:w w:val="99"/>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(d) Cost</w:t>
            </w:r>
          </w:p>
        </w:tc>
        <w:tc>
          <w:tcPr>
            <w:tcW w:w="1100" w:type="dxa"/>
            <w:vAlign w:val="bottom"/>
            <w:tcBorders>
              <w:top w:val="single" w:sz="8" w:color="auto"/>
            </w:tcBorders>
          </w:tcPr>
          <w:p>
            <w:pPr>
              <w:jc w:val="right"/>
              <w:ind w:right="99"/>
              <w:spacing w:after="0" w:line="179" w:lineRule="exact"/>
              <w:rPr>
                <w:sz w:val="20"/>
                <w:szCs w:val="20"/>
                <w:color w:val="auto"/>
              </w:rPr>
            </w:pPr>
            <w:r>
              <w:rPr>
                <w:rFonts w:ascii="Arial" w:cs="Arial" w:eastAsia="Arial" w:hAnsi="Arial"/>
                <w:sz w:val="16"/>
                <w:szCs w:val="16"/>
                <w:color w:val="auto"/>
              </w:rPr>
              <w:t>(e) Current</w:t>
            </w: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2"/>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Janus Henderson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Equity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John Hancock</w:t>
            </w:r>
          </w:p>
        </w:tc>
        <w:tc>
          <w:tcPr>
            <w:tcW w:w="4620" w:type="dxa"/>
            <w:vAlign w:val="bottom"/>
          </w:tcPr>
          <w:p>
            <w:pPr>
              <w:ind w:left="420"/>
              <w:spacing w:after="0"/>
              <w:rPr>
                <w:sz w:val="20"/>
                <w:szCs w:val="20"/>
                <w:color w:val="auto"/>
              </w:rPr>
            </w:pPr>
            <w:r>
              <w:rPr>
                <w:rFonts w:ascii="Arial" w:cs="Arial" w:eastAsia="Arial" w:hAnsi="Arial"/>
                <w:sz w:val="16"/>
                <w:szCs w:val="16"/>
                <w:color w:val="auto"/>
              </w:rPr>
              <w:t>International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Global Bond Opportunities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Growth Advantage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Hedged Equity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Undiscovered Mgrs Behavioral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T. Rowe Price</w:t>
            </w:r>
          </w:p>
        </w:tc>
        <w:tc>
          <w:tcPr>
            <w:tcW w:w="4620" w:type="dxa"/>
            <w:vAlign w:val="bottom"/>
          </w:tcPr>
          <w:p>
            <w:pPr>
              <w:ind w:left="420"/>
              <w:spacing w:after="0"/>
              <w:rPr>
                <w:sz w:val="20"/>
                <w:szCs w:val="20"/>
                <w:color w:val="auto"/>
              </w:rPr>
            </w:pPr>
            <w:r>
              <w:rPr>
                <w:rFonts w:ascii="Arial" w:cs="Arial" w:eastAsia="Arial" w:hAnsi="Arial"/>
                <w:sz w:val="16"/>
                <w:szCs w:val="16"/>
                <w:color w:val="auto"/>
              </w:rPr>
              <w:t>Blue Chip Growth Inv</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Schwab</w:t>
            </w:r>
          </w:p>
        </w:tc>
        <w:tc>
          <w:tcPr>
            <w:tcW w:w="4620" w:type="dxa"/>
            <w:vAlign w:val="bottom"/>
          </w:tcPr>
          <w:p>
            <w:pPr>
              <w:ind w:left="420"/>
              <w:spacing w:after="0"/>
              <w:rPr>
                <w:sz w:val="20"/>
                <w:szCs w:val="20"/>
                <w:color w:val="auto"/>
              </w:rPr>
            </w:pPr>
            <w:r>
              <w:rPr>
                <w:rFonts w:ascii="Arial" w:cs="Arial" w:eastAsia="Arial" w:hAnsi="Arial"/>
                <w:sz w:val="16"/>
                <w:szCs w:val="16"/>
                <w:color w:val="auto"/>
              </w:rPr>
              <w:t>Treasury Inflation Report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4620" w:type="dxa"/>
            <w:vAlign w:val="bottom"/>
          </w:tcPr>
          <w:p>
            <w:pPr>
              <w:ind w:left="420"/>
              <w:spacing w:after="0"/>
              <w:rPr>
                <w:sz w:val="20"/>
                <w:szCs w:val="20"/>
                <w:color w:val="auto"/>
              </w:rPr>
            </w:pPr>
            <w:r>
              <w:rPr>
                <w:rFonts w:ascii="Arial" w:cs="Arial" w:eastAsia="Arial" w:hAnsi="Arial"/>
                <w:sz w:val="16"/>
                <w:szCs w:val="16"/>
                <w:color w:val="auto"/>
              </w:rPr>
              <w:t>Large Cap Index Admiral Class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Real Estate Index Admiral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6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Western Asset</w:t>
            </w:r>
          </w:p>
        </w:tc>
        <w:tc>
          <w:tcPr>
            <w:tcW w:w="4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Core Bond IS</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3"/>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Renasant Bank Income Fund</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rPr>
              <w:t>*/**</w:t>
            </w:r>
          </w:p>
        </w:tc>
        <w:tc>
          <w:tcPr>
            <w:tcW w:w="39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Renasant Bank Conservative Growth Account:</w:t>
            </w:r>
          </w:p>
        </w:tc>
        <w:tc>
          <w:tcPr>
            <w:tcW w:w="4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tcBorders>
              <w:top w:val="single" w:sz="8" w:color="CCEEFF"/>
            </w:tcBorders>
          </w:tcPr>
          <w:p>
            <w:pPr>
              <w:spacing w:after="0"/>
              <w:rPr>
                <w:sz w:val="18"/>
                <w:szCs w:val="18"/>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Baird</w:t>
            </w:r>
          </w:p>
        </w:tc>
        <w:tc>
          <w:tcPr>
            <w:tcW w:w="64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ind w:left="420"/>
              <w:spacing w:after="0"/>
              <w:rPr>
                <w:sz w:val="20"/>
                <w:szCs w:val="20"/>
                <w:color w:val="auto"/>
              </w:rPr>
            </w:pPr>
            <w:r>
              <w:rPr>
                <w:rFonts w:ascii="Arial" w:cs="Arial" w:eastAsia="Arial" w:hAnsi="Arial"/>
                <w:sz w:val="16"/>
                <w:szCs w:val="16"/>
                <w:color w:val="auto"/>
              </w:rPr>
              <w:t>Core Plus Bond Institutional</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Hermes Kaufman Small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Institutional High Yield Bond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Total Return Bond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Eagle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Hartford</w:t>
            </w:r>
          </w:p>
        </w:tc>
        <w:tc>
          <w:tcPr>
            <w:tcW w:w="4620" w:type="dxa"/>
            <w:vAlign w:val="bottom"/>
          </w:tcPr>
          <w:p>
            <w:pPr>
              <w:ind w:left="420"/>
              <w:spacing w:after="0"/>
              <w:rPr>
                <w:sz w:val="20"/>
                <w:szCs w:val="20"/>
                <w:color w:val="auto"/>
              </w:rPr>
            </w:pPr>
            <w:r>
              <w:rPr>
                <w:rFonts w:ascii="Arial" w:cs="Arial" w:eastAsia="Arial" w:hAnsi="Arial"/>
                <w:sz w:val="16"/>
                <w:szCs w:val="16"/>
                <w:color w:val="auto"/>
              </w:rPr>
              <w:t>Dividend &amp;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MFS</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Mid Cap Growth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MFS</w:t>
            </w:r>
          </w:p>
        </w:tc>
        <w:tc>
          <w:tcPr>
            <w:tcW w:w="4620" w:type="dxa"/>
            <w:vAlign w:val="bottom"/>
          </w:tcPr>
          <w:p>
            <w:pPr>
              <w:ind w:left="420"/>
              <w:spacing w:after="0"/>
              <w:rPr>
                <w:sz w:val="20"/>
                <w:szCs w:val="20"/>
                <w:color w:val="auto"/>
              </w:rPr>
            </w:pPr>
            <w:r>
              <w:rPr>
                <w:rFonts w:ascii="Arial" w:cs="Arial" w:eastAsia="Arial" w:hAnsi="Arial"/>
                <w:sz w:val="16"/>
                <w:szCs w:val="16"/>
                <w:color w:val="auto"/>
              </w:rPr>
              <w:t>Mid Cap Value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Oppenheimer</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International Small-Mid Company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Pimco</w:t>
            </w:r>
          </w:p>
        </w:tc>
        <w:tc>
          <w:tcPr>
            <w:tcW w:w="4620" w:type="dxa"/>
            <w:vAlign w:val="bottom"/>
          </w:tcPr>
          <w:p>
            <w:pPr>
              <w:ind w:left="420"/>
              <w:spacing w:after="0"/>
              <w:rPr>
                <w:sz w:val="20"/>
                <w:szCs w:val="20"/>
                <w:color w:val="auto"/>
              </w:rPr>
            </w:pPr>
            <w:r>
              <w:rPr>
                <w:rFonts w:ascii="Arial" w:cs="Arial" w:eastAsia="Arial" w:hAnsi="Arial"/>
                <w:sz w:val="16"/>
                <w:szCs w:val="16"/>
                <w:color w:val="auto"/>
              </w:rPr>
              <w:t>Income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Janus Henderson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Equity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John Hancock</w:t>
            </w:r>
          </w:p>
        </w:tc>
        <w:tc>
          <w:tcPr>
            <w:tcW w:w="4620" w:type="dxa"/>
            <w:vAlign w:val="bottom"/>
          </w:tcPr>
          <w:p>
            <w:pPr>
              <w:ind w:left="420"/>
              <w:spacing w:after="0"/>
              <w:rPr>
                <w:sz w:val="20"/>
                <w:szCs w:val="20"/>
                <w:color w:val="auto"/>
              </w:rPr>
            </w:pPr>
            <w:r>
              <w:rPr>
                <w:rFonts w:ascii="Arial" w:cs="Arial" w:eastAsia="Arial" w:hAnsi="Arial"/>
                <w:sz w:val="16"/>
                <w:szCs w:val="16"/>
                <w:color w:val="auto"/>
              </w:rPr>
              <w:t>International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Global Bond Opportunities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Growth Advantage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Hedged Equity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Undiscovered Mgrs Behavioral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T. Rowe Price</w:t>
            </w:r>
          </w:p>
        </w:tc>
        <w:tc>
          <w:tcPr>
            <w:tcW w:w="4620" w:type="dxa"/>
            <w:vAlign w:val="bottom"/>
          </w:tcPr>
          <w:p>
            <w:pPr>
              <w:ind w:left="420"/>
              <w:spacing w:after="0"/>
              <w:rPr>
                <w:sz w:val="20"/>
                <w:szCs w:val="20"/>
                <w:color w:val="auto"/>
              </w:rPr>
            </w:pPr>
            <w:r>
              <w:rPr>
                <w:rFonts w:ascii="Arial" w:cs="Arial" w:eastAsia="Arial" w:hAnsi="Arial"/>
                <w:sz w:val="16"/>
                <w:szCs w:val="16"/>
                <w:color w:val="auto"/>
              </w:rPr>
              <w:t>Blue Chip Growth Inv</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Schwab</w:t>
            </w:r>
          </w:p>
        </w:tc>
        <w:tc>
          <w:tcPr>
            <w:tcW w:w="4620" w:type="dxa"/>
            <w:vAlign w:val="bottom"/>
          </w:tcPr>
          <w:p>
            <w:pPr>
              <w:ind w:left="420"/>
              <w:spacing w:after="0"/>
              <w:rPr>
                <w:sz w:val="20"/>
                <w:szCs w:val="20"/>
                <w:color w:val="auto"/>
              </w:rPr>
            </w:pPr>
            <w:r>
              <w:rPr>
                <w:rFonts w:ascii="Arial" w:cs="Arial" w:eastAsia="Arial" w:hAnsi="Arial"/>
                <w:sz w:val="16"/>
                <w:szCs w:val="16"/>
                <w:color w:val="auto"/>
              </w:rPr>
              <w:t>Treasury Inflation Report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w:t>
            </w:r>
          </w:p>
        </w:tc>
        <w:tc>
          <w:tcPr>
            <w:tcW w:w="39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6"/>
                <w:szCs w:val="16"/>
                <w:color w:val="auto"/>
              </w:rPr>
              <w:t>(b) Identity of issuer, borrower, lessor or similar party</w:t>
            </w:r>
          </w:p>
        </w:tc>
        <w:tc>
          <w:tcPr>
            <w:tcW w:w="4620" w:type="dxa"/>
            <w:vAlign w:val="bottom"/>
            <w:tcBorders>
              <w:top w:val="single" w:sz="8" w:color="auto"/>
            </w:tcBorders>
          </w:tcPr>
          <w:p>
            <w:pPr>
              <w:ind w:left="420"/>
              <w:spacing w:after="0" w:line="179" w:lineRule="exact"/>
              <w:rPr>
                <w:sz w:val="20"/>
                <w:szCs w:val="20"/>
                <w:color w:val="auto"/>
              </w:rPr>
            </w:pPr>
            <w:r>
              <w:rPr>
                <w:rFonts w:ascii="Arial" w:cs="Arial" w:eastAsia="Arial" w:hAnsi="Arial"/>
                <w:sz w:val="16"/>
                <w:szCs w:val="16"/>
                <w:color w:val="auto"/>
                <w:w w:val="99"/>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(d) Cost</w:t>
            </w:r>
          </w:p>
        </w:tc>
        <w:tc>
          <w:tcPr>
            <w:tcW w:w="1100" w:type="dxa"/>
            <w:vAlign w:val="bottom"/>
            <w:tcBorders>
              <w:top w:val="single" w:sz="8" w:color="auto"/>
            </w:tcBorders>
          </w:tcPr>
          <w:p>
            <w:pPr>
              <w:jc w:val="right"/>
              <w:ind w:right="99"/>
              <w:spacing w:after="0" w:line="179" w:lineRule="exact"/>
              <w:rPr>
                <w:sz w:val="20"/>
                <w:szCs w:val="20"/>
                <w:color w:val="auto"/>
              </w:rPr>
            </w:pPr>
            <w:r>
              <w:rPr>
                <w:rFonts w:ascii="Arial" w:cs="Arial" w:eastAsia="Arial" w:hAnsi="Arial"/>
                <w:sz w:val="16"/>
                <w:szCs w:val="16"/>
                <w:color w:val="auto"/>
              </w:rPr>
              <w:t>(e) Current</w:t>
            </w: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3"/>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Vanguard</w:t>
            </w:r>
          </w:p>
        </w:tc>
        <w:tc>
          <w:tcPr>
            <w:tcW w:w="4620" w:type="dxa"/>
            <w:vAlign w:val="bottom"/>
          </w:tcPr>
          <w:p>
            <w:pPr>
              <w:ind w:left="420"/>
              <w:spacing w:after="0"/>
              <w:rPr>
                <w:sz w:val="20"/>
                <w:szCs w:val="20"/>
                <w:color w:val="auto"/>
              </w:rPr>
            </w:pPr>
            <w:r>
              <w:rPr>
                <w:rFonts w:ascii="Arial" w:cs="Arial" w:eastAsia="Arial" w:hAnsi="Arial"/>
                <w:sz w:val="16"/>
                <w:szCs w:val="16"/>
                <w:color w:val="auto"/>
              </w:rPr>
              <w:t>Large Cap Index Admiral Class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Real Estate Index Admiral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3"/>
        </w:trPr>
        <w:tc>
          <w:tcPr>
            <w:tcW w:w="56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Western Asset</w:t>
            </w:r>
          </w:p>
        </w:tc>
        <w:tc>
          <w:tcPr>
            <w:tcW w:w="4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Core Bond IS</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Renasant Bank Conservative Growth Plan</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69,005</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9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Renasant Bank Moderate Growth Account:</w:t>
            </w:r>
          </w:p>
        </w:tc>
        <w:tc>
          <w:tcPr>
            <w:tcW w:w="4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tcBorders>
              <w:top w:val="single" w:sz="8" w:color="CCEEFF"/>
            </w:tcBorders>
          </w:tcPr>
          <w:p>
            <w:pPr>
              <w:spacing w:after="0"/>
              <w:rPr>
                <w:sz w:val="18"/>
                <w:szCs w:val="18"/>
                <w:color w:val="auto"/>
              </w:rPr>
            </w:pPr>
          </w:p>
        </w:tc>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Baird</w:t>
            </w:r>
          </w:p>
        </w:tc>
        <w:tc>
          <w:tcPr>
            <w:tcW w:w="88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ind w:left="420"/>
              <w:spacing w:after="0"/>
              <w:rPr>
                <w:sz w:val="20"/>
                <w:szCs w:val="20"/>
                <w:color w:val="auto"/>
              </w:rPr>
            </w:pPr>
            <w:r>
              <w:rPr>
                <w:rFonts w:ascii="Arial" w:cs="Arial" w:eastAsia="Arial" w:hAnsi="Arial"/>
                <w:sz w:val="16"/>
                <w:szCs w:val="16"/>
                <w:color w:val="auto"/>
              </w:rPr>
              <w:t>Core Plus Bond Institutional</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Hermes Kaufman Small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Institutional High Yield Bond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Total Return Bond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First Eagle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Hartford</w:t>
            </w:r>
          </w:p>
        </w:tc>
        <w:tc>
          <w:tcPr>
            <w:tcW w:w="4620" w:type="dxa"/>
            <w:vAlign w:val="bottom"/>
          </w:tcPr>
          <w:p>
            <w:pPr>
              <w:ind w:left="420"/>
              <w:spacing w:after="0"/>
              <w:rPr>
                <w:sz w:val="20"/>
                <w:szCs w:val="20"/>
                <w:color w:val="auto"/>
              </w:rPr>
            </w:pPr>
            <w:r>
              <w:rPr>
                <w:rFonts w:ascii="Arial" w:cs="Arial" w:eastAsia="Arial" w:hAnsi="Arial"/>
                <w:sz w:val="16"/>
                <w:szCs w:val="16"/>
                <w:color w:val="auto"/>
              </w:rPr>
              <w:t>Dividend &amp;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MFS</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Mid Cap Growth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MFS</w:t>
            </w:r>
          </w:p>
        </w:tc>
        <w:tc>
          <w:tcPr>
            <w:tcW w:w="4620" w:type="dxa"/>
            <w:vAlign w:val="bottom"/>
          </w:tcPr>
          <w:p>
            <w:pPr>
              <w:ind w:left="420"/>
              <w:spacing w:after="0"/>
              <w:rPr>
                <w:sz w:val="20"/>
                <w:szCs w:val="20"/>
                <w:color w:val="auto"/>
              </w:rPr>
            </w:pPr>
            <w:r>
              <w:rPr>
                <w:rFonts w:ascii="Arial" w:cs="Arial" w:eastAsia="Arial" w:hAnsi="Arial"/>
                <w:sz w:val="16"/>
                <w:szCs w:val="16"/>
                <w:color w:val="auto"/>
              </w:rPr>
              <w:t>Mid Cap Value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Oppenheimer</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International Small-Mid Company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Pimco</w:t>
            </w:r>
          </w:p>
        </w:tc>
        <w:tc>
          <w:tcPr>
            <w:tcW w:w="4620" w:type="dxa"/>
            <w:vAlign w:val="bottom"/>
          </w:tcPr>
          <w:p>
            <w:pPr>
              <w:ind w:left="420"/>
              <w:spacing w:after="0"/>
              <w:rPr>
                <w:sz w:val="20"/>
                <w:szCs w:val="20"/>
                <w:color w:val="auto"/>
              </w:rPr>
            </w:pPr>
            <w:r>
              <w:rPr>
                <w:rFonts w:ascii="Arial" w:cs="Arial" w:eastAsia="Arial" w:hAnsi="Arial"/>
                <w:sz w:val="16"/>
                <w:szCs w:val="16"/>
                <w:color w:val="auto"/>
              </w:rPr>
              <w:t>Income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Janus Henderson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Equity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John Hancock</w:t>
            </w:r>
          </w:p>
        </w:tc>
        <w:tc>
          <w:tcPr>
            <w:tcW w:w="4620" w:type="dxa"/>
            <w:vAlign w:val="bottom"/>
          </w:tcPr>
          <w:p>
            <w:pPr>
              <w:ind w:left="420"/>
              <w:spacing w:after="0"/>
              <w:rPr>
                <w:sz w:val="20"/>
                <w:szCs w:val="20"/>
                <w:color w:val="auto"/>
              </w:rPr>
            </w:pPr>
            <w:r>
              <w:rPr>
                <w:rFonts w:ascii="Arial" w:cs="Arial" w:eastAsia="Arial" w:hAnsi="Arial"/>
                <w:sz w:val="16"/>
                <w:szCs w:val="16"/>
                <w:color w:val="auto"/>
              </w:rPr>
              <w:t>International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Global Bond Opportunities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Growth Advantage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Hedged Equity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Undiscovered Mgrs Behavioral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T. Rowe Price</w:t>
            </w:r>
          </w:p>
        </w:tc>
        <w:tc>
          <w:tcPr>
            <w:tcW w:w="4620" w:type="dxa"/>
            <w:vAlign w:val="bottom"/>
          </w:tcPr>
          <w:p>
            <w:pPr>
              <w:ind w:left="420"/>
              <w:spacing w:after="0"/>
              <w:rPr>
                <w:sz w:val="20"/>
                <w:szCs w:val="20"/>
                <w:color w:val="auto"/>
              </w:rPr>
            </w:pPr>
            <w:r>
              <w:rPr>
                <w:rFonts w:ascii="Arial" w:cs="Arial" w:eastAsia="Arial" w:hAnsi="Arial"/>
                <w:sz w:val="16"/>
                <w:szCs w:val="16"/>
                <w:color w:val="auto"/>
              </w:rPr>
              <w:t>Blue Chip Growth Inv</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Schwab</w:t>
            </w:r>
          </w:p>
        </w:tc>
        <w:tc>
          <w:tcPr>
            <w:tcW w:w="4620" w:type="dxa"/>
            <w:vAlign w:val="bottom"/>
          </w:tcPr>
          <w:p>
            <w:pPr>
              <w:ind w:left="420"/>
              <w:spacing w:after="0"/>
              <w:rPr>
                <w:sz w:val="20"/>
                <w:szCs w:val="20"/>
                <w:color w:val="auto"/>
              </w:rPr>
            </w:pPr>
            <w:r>
              <w:rPr>
                <w:rFonts w:ascii="Arial" w:cs="Arial" w:eastAsia="Arial" w:hAnsi="Arial"/>
                <w:sz w:val="16"/>
                <w:szCs w:val="16"/>
                <w:color w:val="auto"/>
              </w:rPr>
              <w:t>Treasury Inflation Report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Vanguard</w:t>
            </w:r>
          </w:p>
        </w:tc>
        <w:tc>
          <w:tcPr>
            <w:tcW w:w="4620" w:type="dxa"/>
            <w:vAlign w:val="bottom"/>
          </w:tcPr>
          <w:p>
            <w:pPr>
              <w:ind w:left="420"/>
              <w:spacing w:after="0"/>
              <w:rPr>
                <w:sz w:val="20"/>
                <w:szCs w:val="20"/>
                <w:color w:val="auto"/>
              </w:rPr>
            </w:pPr>
            <w:r>
              <w:rPr>
                <w:rFonts w:ascii="Arial" w:cs="Arial" w:eastAsia="Arial" w:hAnsi="Arial"/>
                <w:sz w:val="16"/>
                <w:szCs w:val="16"/>
                <w:color w:val="auto"/>
              </w:rPr>
              <w:t>Large Cap Index Admiral Class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Real Estate Index Admiral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3"/>
        </w:trPr>
        <w:tc>
          <w:tcPr>
            <w:tcW w:w="56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Western Asset</w:t>
            </w:r>
          </w:p>
        </w:tc>
        <w:tc>
          <w:tcPr>
            <w:tcW w:w="4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Core Bond IS</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3"/>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Renasant Bank Moderate Growth Plan</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18,763</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2"/>
              </w:rPr>
              <w:t>Renasant Bank Growth Account:</w:t>
            </w:r>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46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Baird</w:t>
            </w:r>
          </w:p>
        </w:tc>
        <w:tc>
          <w:tcPr>
            <w:tcW w:w="4620" w:type="dxa"/>
            <w:vAlign w:val="bottom"/>
          </w:tcPr>
          <w:p>
            <w:pPr>
              <w:ind w:left="420"/>
              <w:spacing w:after="0"/>
              <w:rPr>
                <w:sz w:val="20"/>
                <w:szCs w:val="20"/>
                <w:color w:val="auto"/>
              </w:rPr>
            </w:pPr>
            <w:r>
              <w:rPr>
                <w:rFonts w:ascii="Arial" w:cs="Arial" w:eastAsia="Arial" w:hAnsi="Arial"/>
                <w:sz w:val="16"/>
                <w:szCs w:val="16"/>
                <w:color w:val="auto"/>
              </w:rPr>
              <w:t>Core Plus Bond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Hermes Kaufman Small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w:t>
            </w:r>
          </w:p>
        </w:tc>
        <w:tc>
          <w:tcPr>
            <w:tcW w:w="39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color w:val="auto"/>
              </w:rPr>
              <w:t>(b) Identity of issuer, borrower, lessor or similar party</w:t>
            </w:r>
          </w:p>
        </w:tc>
        <w:tc>
          <w:tcPr>
            <w:tcW w:w="4620" w:type="dxa"/>
            <w:vAlign w:val="bottom"/>
            <w:tcBorders>
              <w:top w:val="single" w:sz="8" w:color="auto"/>
            </w:tcBorders>
          </w:tcPr>
          <w:p>
            <w:pPr>
              <w:ind w:left="420"/>
              <w:spacing w:after="0" w:line="179" w:lineRule="exact"/>
              <w:rPr>
                <w:sz w:val="20"/>
                <w:szCs w:val="20"/>
                <w:color w:val="auto"/>
              </w:rPr>
            </w:pPr>
            <w:r>
              <w:rPr>
                <w:rFonts w:ascii="Arial" w:cs="Arial" w:eastAsia="Arial" w:hAnsi="Arial"/>
                <w:sz w:val="16"/>
                <w:szCs w:val="16"/>
                <w:color w:val="auto"/>
                <w:w w:val="99"/>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(d) Cost</w:t>
            </w:r>
          </w:p>
        </w:tc>
        <w:tc>
          <w:tcPr>
            <w:tcW w:w="1100" w:type="dxa"/>
            <w:vAlign w:val="bottom"/>
            <w:tcBorders>
              <w:top w:val="single" w:sz="8" w:color="auto"/>
            </w:tcBorders>
          </w:tcPr>
          <w:p>
            <w:pPr>
              <w:jc w:val="right"/>
              <w:ind w:right="99"/>
              <w:spacing w:after="0" w:line="179" w:lineRule="exact"/>
              <w:rPr>
                <w:sz w:val="20"/>
                <w:szCs w:val="20"/>
                <w:color w:val="auto"/>
              </w:rPr>
            </w:pPr>
            <w:r>
              <w:rPr>
                <w:rFonts w:ascii="Arial" w:cs="Arial" w:eastAsia="Arial" w:hAnsi="Arial"/>
                <w:sz w:val="16"/>
                <w:szCs w:val="16"/>
                <w:color w:val="auto"/>
              </w:rPr>
              <w:t>(e) Current</w:t>
            </w: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2"/>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Institutional High Yield Bond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Total Return Bond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Eagle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Hartford</w:t>
            </w:r>
          </w:p>
        </w:tc>
        <w:tc>
          <w:tcPr>
            <w:tcW w:w="4620" w:type="dxa"/>
            <w:vAlign w:val="bottom"/>
          </w:tcPr>
          <w:p>
            <w:pPr>
              <w:ind w:left="420"/>
              <w:spacing w:after="0"/>
              <w:rPr>
                <w:sz w:val="20"/>
                <w:szCs w:val="20"/>
                <w:color w:val="auto"/>
              </w:rPr>
            </w:pPr>
            <w:r>
              <w:rPr>
                <w:rFonts w:ascii="Arial" w:cs="Arial" w:eastAsia="Arial" w:hAnsi="Arial"/>
                <w:sz w:val="16"/>
                <w:szCs w:val="16"/>
                <w:color w:val="auto"/>
              </w:rPr>
              <w:t>Dividend &amp;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MFS</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Mid Cap Growth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MFS</w:t>
            </w:r>
          </w:p>
        </w:tc>
        <w:tc>
          <w:tcPr>
            <w:tcW w:w="4620" w:type="dxa"/>
            <w:vAlign w:val="bottom"/>
          </w:tcPr>
          <w:p>
            <w:pPr>
              <w:ind w:left="420"/>
              <w:spacing w:after="0"/>
              <w:rPr>
                <w:sz w:val="20"/>
                <w:szCs w:val="20"/>
                <w:color w:val="auto"/>
              </w:rPr>
            </w:pPr>
            <w:r>
              <w:rPr>
                <w:rFonts w:ascii="Arial" w:cs="Arial" w:eastAsia="Arial" w:hAnsi="Arial"/>
                <w:sz w:val="16"/>
                <w:szCs w:val="16"/>
                <w:color w:val="auto"/>
              </w:rPr>
              <w:t>Mid Cap Value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Oppenheimer</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International Small-Mid Company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Pimco</w:t>
            </w:r>
          </w:p>
        </w:tc>
        <w:tc>
          <w:tcPr>
            <w:tcW w:w="4620" w:type="dxa"/>
            <w:vAlign w:val="bottom"/>
          </w:tcPr>
          <w:p>
            <w:pPr>
              <w:ind w:left="420"/>
              <w:spacing w:after="0"/>
              <w:rPr>
                <w:sz w:val="20"/>
                <w:szCs w:val="20"/>
                <w:color w:val="auto"/>
              </w:rPr>
            </w:pPr>
            <w:r>
              <w:rPr>
                <w:rFonts w:ascii="Arial" w:cs="Arial" w:eastAsia="Arial" w:hAnsi="Arial"/>
                <w:sz w:val="16"/>
                <w:szCs w:val="16"/>
                <w:color w:val="auto"/>
              </w:rPr>
              <w:t>Income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Janus Henderson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Equity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John Hancock</w:t>
            </w:r>
          </w:p>
        </w:tc>
        <w:tc>
          <w:tcPr>
            <w:tcW w:w="4620" w:type="dxa"/>
            <w:vAlign w:val="bottom"/>
          </w:tcPr>
          <w:p>
            <w:pPr>
              <w:ind w:left="420"/>
              <w:spacing w:after="0"/>
              <w:rPr>
                <w:sz w:val="20"/>
                <w:szCs w:val="20"/>
                <w:color w:val="auto"/>
              </w:rPr>
            </w:pPr>
            <w:r>
              <w:rPr>
                <w:rFonts w:ascii="Arial" w:cs="Arial" w:eastAsia="Arial" w:hAnsi="Arial"/>
                <w:sz w:val="16"/>
                <w:szCs w:val="16"/>
                <w:color w:val="auto"/>
              </w:rPr>
              <w:t>International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Global Bond Opportunities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Growth Advantage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Hedged Equity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Undiscovered Mgrs Behavioral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T. Rowe Price</w:t>
            </w:r>
          </w:p>
        </w:tc>
        <w:tc>
          <w:tcPr>
            <w:tcW w:w="4620" w:type="dxa"/>
            <w:vAlign w:val="bottom"/>
          </w:tcPr>
          <w:p>
            <w:pPr>
              <w:ind w:left="420"/>
              <w:spacing w:after="0"/>
              <w:rPr>
                <w:sz w:val="20"/>
                <w:szCs w:val="20"/>
                <w:color w:val="auto"/>
              </w:rPr>
            </w:pPr>
            <w:r>
              <w:rPr>
                <w:rFonts w:ascii="Arial" w:cs="Arial" w:eastAsia="Arial" w:hAnsi="Arial"/>
                <w:sz w:val="16"/>
                <w:szCs w:val="16"/>
                <w:color w:val="auto"/>
              </w:rPr>
              <w:t>Blue Chip Growth Inv</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Schwab</w:t>
            </w:r>
          </w:p>
        </w:tc>
        <w:tc>
          <w:tcPr>
            <w:tcW w:w="4620" w:type="dxa"/>
            <w:vAlign w:val="bottom"/>
          </w:tcPr>
          <w:p>
            <w:pPr>
              <w:ind w:left="420"/>
              <w:spacing w:after="0"/>
              <w:rPr>
                <w:sz w:val="20"/>
                <w:szCs w:val="20"/>
                <w:color w:val="auto"/>
              </w:rPr>
            </w:pPr>
            <w:r>
              <w:rPr>
                <w:rFonts w:ascii="Arial" w:cs="Arial" w:eastAsia="Arial" w:hAnsi="Arial"/>
                <w:sz w:val="16"/>
                <w:szCs w:val="16"/>
                <w:color w:val="auto"/>
              </w:rPr>
              <w:t>Treasury Inflation Report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Vanguard</w:t>
            </w:r>
          </w:p>
        </w:tc>
        <w:tc>
          <w:tcPr>
            <w:tcW w:w="4620" w:type="dxa"/>
            <w:vAlign w:val="bottom"/>
          </w:tcPr>
          <w:p>
            <w:pPr>
              <w:ind w:left="420"/>
              <w:spacing w:after="0"/>
              <w:rPr>
                <w:sz w:val="20"/>
                <w:szCs w:val="20"/>
                <w:color w:val="auto"/>
              </w:rPr>
            </w:pPr>
            <w:r>
              <w:rPr>
                <w:rFonts w:ascii="Arial" w:cs="Arial" w:eastAsia="Arial" w:hAnsi="Arial"/>
                <w:sz w:val="16"/>
                <w:szCs w:val="16"/>
                <w:color w:val="auto"/>
              </w:rPr>
              <w:t>Large Cap Index Admiral Class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Real Estate Index Admiral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3"/>
        </w:trPr>
        <w:tc>
          <w:tcPr>
            <w:tcW w:w="56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Western Asset</w:t>
            </w:r>
          </w:p>
        </w:tc>
        <w:tc>
          <w:tcPr>
            <w:tcW w:w="4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Core Bond IS</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Renasant Bank Growth Plan</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4"/>
                <w:szCs w:val="14"/>
                <w:color w:val="auto"/>
              </w:rPr>
              <w:t>*/**</w:t>
            </w:r>
          </w:p>
        </w:tc>
        <w:tc>
          <w:tcPr>
            <w:tcW w:w="31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Renasant Bank Aggressive Growth Account:</w:t>
            </w:r>
          </w:p>
        </w:tc>
        <w:tc>
          <w:tcPr>
            <w:tcW w:w="800" w:type="dxa"/>
            <w:vAlign w:val="bottom"/>
            <w:tcBorders>
              <w:bottom w:val="single" w:sz="8" w:color="CCEEFF"/>
            </w:tcBorders>
            <w:shd w:val="clear" w:color="auto" w:fill="CCEEFF"/>
          </w:tcPr>
          <w:p>
            <w:pPr>
              <w:spacing w:after="0"/>
              <w:rPr>
                <w:sz w:val="17"/>
                <w:szCs w:val="17"/>
                <w:color w:val="auto"/>
              </w:rPr>
            </w:pPr>
          </w:p>
        </w:tc>
        <w:tc>
          <w:tcPr>
            <w:tcW w:w="46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Baird</w:t>
            </w:r>
          </w:p>
        </w:tc>
        <w:tc>
          <w:tcPr>
            <w:tcW w:w="4620" w:type="dxa"/>
            <w:vAlign w:val="bottom"/>
          </w:tcPr>
          <w:p>
            <w:pPr>
              <w:ind w:left="420"/>
              <w:spacing w:after="0"/>
              <w:rPr>
                <w:sz w:val="20"/>
                <w:szCs w:val="20"/>
                <w:color w:val="auto"/>
              </w:rPr>
            </w:pPr>
            <w:r>
              <w:rPr>
                <w:rFonts w:ascii="Arial" w:cs="Arial" w:eastAsia="Arial" w:hAnsi="Arial"/>
                <w:sz w:val="16"/>
                <w:szCs w:val="16"/>
                <w:color w:val="auto"/>
              </w:rPr>
              <w:t>Core Plus Bond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Hermes Kaufman Small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Institutional High Yield Bond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Federated</w:t>
            </w:r>
          </w:p>
        </w:tc>
        <w:tc>
          <w:tcPr>
            <w:tcW w:w="4620" w:type="dxa"/>
            <w:vAlign w:val="bottom"/>
          </w:tcPr>
          <w:p>
            <w:pPr>
              <w:ind w:left="420"/>
              <w:spacing w:after="0"/>
              <w:rPr>
                <w:sz w:val="20"/>
                <w:szCs w:val="20"/>
                <w:color w:val="auto"/>
              </w:rPr>
            </w:pPr>
            <w:r>
              <w:rPr>
                <w:rFonts w:ascii="Arial" w:cs="Arial" w:eastAsia="Arial" w:hAnsi="Arial"/>
                <w:sz w:val="16"/>
                <w:szCs w:val="16"/>
                <w:color w:val="auto"/>
              </w:rPr>
              <w:t>Total Return Bond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Eagle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Hartford</w:t>
            </w:r>
          </w:p>
        </w:tc>
        <w:tc>
          <w:tcPr>
            <w:tcW w:w="4620" w:type="dxa"/>
            <w:vAlign w:val="bottom"/>
          </w:tcPr>
          <w:p>
            <w:pPr>
              <w:ind w:left="420"/>
              <w:spacing w:after="0"/>
              <w:rPr>
                <w:sz w:val="20"/>
                <w:szCs w:val="20"/>
                <w:color w:val="auto"/>
              </w:rPr>
            </w:pPr>
            <w:r>
              <w:rPr>
                <w:rFonts w:ascii="Arial" w:cs="Arial" w:eastAsia="Arial" w:hAnsi="Arial"/>
                <w:sz w:val="16"/>
                <w:szCs w:val="16"/>
                <w:color w:val="auto"/>
              </w:rPr>
              <w:t>Dividend &amp;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MFS</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Mid Cap Growth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MFS</w:t>
            </w:r>
          </w:p>
        </w:tc>
        <w:tc>
          <w:tcPr>
            <w:tcW w:w="4620" w:type="dxa"/>
            <w:vAlign w:val="bottom"/>
          </w:tcPr>
          <w:p>
            <w:pPr>
              <w:ind w:left="420"/>
              <w:spacing w:after="0"/>
              <w:rPr>
                <w:sz w:val="20"/>
                <w:szCs w:val="20"/>
                <w:color w:val="auto"/>
              </w:rPr>
            </w:pPr>
            <w:r>
              <w:rPr>
                <w:rFonts w:ascii="Arial" w:cs="Arial" w:eastAsia="Arial" w:hAnsi="Arial"/>
                <w:sz w:val="16"/>
                <w:szCs w:val="16"/>
                <w:color w:val="auto"/>
              </w:rPr>
              <w:t>Mid Cap Value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Oppenheimer</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International Small-Mid Company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Pimco</w:t>
            </w:r>
          </w:p>
        </w:tc>
        <w:tc>
          <w:tcPr>
            <w:tcW w:w="4620" w:type="dxa"/>
            <w:vAlign w:val="bottom"/>
          </w:tcPr>
          <w:p>
            <w:pPr>
              <w:ind w:left="420"/>
              <w:spacing w:after="0"/>
              <w:rPr>
                <w:sz w:val="20"/>
                <w:szCs w:val="20"/>
                <w:color w:val="auto"/>
              </w:rPr>
            </w:pPr>
            <w:r>
              <w:rPr>
                <w:rFonts w:ascii="Arial" w:cs="Arial" w:eastAsia="Arial" w:hAnsi="Arial"/>
                <w:sz w:val="16"/>
                <w:szCs w:val="16"/>
                <w:color w:val="auto"/>
              </w:rPr>
              <w:t>Income Institutional</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Janus Henderson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Global Equity</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John Hancock</w:t>
            </w:r>
          </w:p>
        </w:tc>
        <w:tc>
          <w:tcPr>
            <w:tcW w:w="4620" w:type="dxa"/>
            <w:vAlign w:val="bottom"/>
          </w:tcPr>
          <w:p>
            <w:pPr>
              <w:ind w:left="420"/>
              <w:spacing w:after="0"/>
              <w:rPr>
                <w:sz w:val="20"/>
                <w:szCs w:val="20"/>
                <w:color w:val="auto"/>
              </w:rPr>
            </w:pPr>
            <w:r>
              <w:rPr>
                <w:rFonts w:ascii="Arial" w:cs="Arial" w:eastAsia="Arial" w:hAnsi="Arial"/>
                <w:sz w:val="16"/>
                <w:szCs w:val="16"/>
                <w:color w:val="auto"/>
              </w:rPr>
              <w:t>International Growth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RENASANT BANK</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401(k) Plan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Employer Identification Number 64-0220550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December 31, 2020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6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color w:val="auto"/>
              </w:rPr>
              <w:t>(a)</w:t>
            </w:r>
          </w:p>
        </w:tc>
        <w:tc>
          <w:tcPr>
            <w:tcW w:w="400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(b) Identity of issuer, borrower, lessor or similar party</w:t>
            </w:r>
          </w:p>
        </w:tc>
        <w:tc>
          <w:tcPr>
            <w:tcW w:w="4620" w:type="dxa"/>
            <w:vAlign w:val="bottom"/>
            <w:tcBorders>
              <w:top w:val="single" w:sz="8" w:color="auto"/>
            </w:tcBorders>
          </w:tcPr>
          <w:p>
            <w:pPr>
              <w:ind w:left="420"/>
              <w:spacing w:after="0" w:line="179" w:lineRule="exact"/>
              <w:rPr>
                <w:sz w:val="20"/>
                <w:szCs w:val="20"/>
                <w:color w:val="auto"/>
              </w:rPr>
            </w:pPr>
            <w:r>
              <w:rPr>
                <w:rFonts w:ascii="Arial" w:cs="Arial" w:eastAsia="Arial" w:hAnsi="Arial"/>
                <w:sz w:val="16"/>
                <w:szCs w:val="16"/>
                <w:color w:val="auto"/>
                <w:w w:val="99"/>
              </w:rPr>
              <w:t>(c) Description of investment including maturity date, rate of</w:t>
            </w:r>
          </w:p>
        </w:tc>
        <w:tc>
          <w:tcPr>
            <w:tcW w:w="122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6"/>
                <w:szCs w:val="16"/>
                <w:color w:val="auto"/>
              </w:rPr>
              <w:t>(d) Cost</w:t>
            </w:r>
          </w:p>
        </w:tc>
        <w:tc>
          <w:tcPr>
            <w:tcW w:w="940" w:type="dxa"/>
            <w:vAlign w:val="bottom"/>
            <w:tcBorders>
              <w:top w:val="single" w:sz="8" w:color="auto"/>
            </w:tcBorders>
          </w:tcPr>
          <w:p>
            <w:pPr>
              <w:jc w:val="right"/>
              <w:ind w:right="99"/>
              <w:spacing w:after="0" w:line="179" w:lineRule="exact"/>
              <w:rPr>
                <w:sz w:val="20"/>
                <w:szCs w:val="20"/>
                <w:color w:val="auto"/>
              </w:rPr>
            </w:pPr>
            <w:r>
              <w:rPr>
                <w:rFonts w:ascii="Arial" w:cs="Arial" w:eastAsia="Arial" w:hAnsi="Arial"/>
                <w:sz w:val="16"/>
                <w:szCs w:val="16"/>
                <w:color w:val="auto"/>
                <w:w w:val="95"/>
              </w:rPr>
              <w:t>(e) Current</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400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Global Bond Opportunities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Growth Advantage R6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JP Morgan</w:t>
            </w:r>
          </w:p>
        </w:tc>
        <w:tc>
          <w:tcPr>
            <w:tcW w:w="4620" w:type="dxa"/>
            <w:vAlign w:val="bottom"/>
          </w:tcPr>
          <w:p>
            <w:pPr>
              <w:ind w:left="420"/>
              <w:spacing w:after="0"/>
              <w:rPr>
                <w:sz w:val="20"/>
                <w:szCs w:val="20"/>
                <w:color w:val="auto"/>
              </w:rPr>
            </w:pPr>
            <w:r>
              <w:rPr>
                <w:rFonts w:ascii="Arial" w:cs="Arial" w:eastAsia="Arial" w:hAnsi="Arial"/>
                <w:sz w:val="16"/>
                <w:szCs w:val="16"/>
                <w:color w:val="auto"/>
              </w:rPr>
              <w:t>Hedged Equity R6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Undiscovered Mgrs Behavioral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T. Rowe Price</w:t>
            </w:r>
          </w:p>
        </w:tc>
        <w:tc>
          <w:tcPr>
            <w:tcW w:w="4620" w:type="dxa"/>
            <w:vAlign w:val="bottom"/>
          </w:tcPr>
          <w:p>
            <w:pPr>
              <w:ind w:left="420"/>
              <w:spacing w:after="0"/>
              <w:rPr>
                <w:sz w:val="20"/>
                <w:szCs w:val="20"/>
                <w:color w:val="auto"/>
              </w:rPr>
            </w:pPr>
            <w:r>
              <w:rPr>
                <w:rFonts w:ascii="Arial" w:cs="Arial" w:eastAsia="Arial" w:hAnsi="Arial"/>
                <w:sz w:val="16"/>
                <w:szCs w:val="16"/>
                <w:color w:val="auto"/>
              </w:rPr>
              <w:t>Blue Chip Growth Inv</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Schwab</w:t>
            </w:r>
          </w:p>
        </w:tc>
        <w:tc>
          <w:tcPr>
            <w:tcW w:w="4620" w:type="dxa"/>
            <w:vAlign w:val="bottom"/>
          </w:tcPr>
          <w:p>
            <w:pPr>
              <w:ind w:left="420"/>
              <w:spacing w:after="0"/>
              <w:rPr>
                <w:sz w:val="20"/>
                <w:szCs w:val="20"/>
                <w:color w:val="auto"/>
              </w:rPr>
            </w:pPr>
            <w:r>
              <w:rPr>
                <w:rFonts w:ascii="Arial" w:cs="Arial" w:eastAsia="Arial" w:hAnsi="Arial"/>
                <w:sz w:val="16"/>
                <w:szCs w:val="16"/>
                <w:color w:val="auto"/>
              </w:rPr>
              <w:t>Treasury Inflation Report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Developed Markets Index Admiral Class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Vanguard</w:t>
            </w:r>
          </w:p>
        </w:tc>
        <w:tc>
          <w:tcPr>
            <w:tcW w:w="4620" w:type="dxa"/>
            <w:vAlign w:val="bottom"/>
          </w:tcPr>
          <w:p>
            <w:pPr>
              <w:ind w:left="420"/>
              <w:spacing w:after="0"/>
              <w:rPr>
                <w:sz w:val="20"/>
                <w:szCs w:val="20"/>
                <w:color w:val="auto"/>
              </w:rPr>
            </w:pPr>
            <w:r>
              <w:rPr>
                <w:rFonts w:ascii="Arial" w:cs="Arial" w:eastAsia="Arial" w:hAnsi="Arial"/>
                <w:sz w:val="16"/>
                <w:szCs w:val="16"/>
                <w:color w:val="auto"/>
              </w:rPr>
              <w:t>Large Cap Index Admiral Class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Vanguard</w:t>
            </w:r>
          </w:p>
        </w:tc>
        <w:tc>
          <w:tcPr>
            <w:tcW w:w="4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Real Estate Index Admiral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3"/>
        </w:trPr>
        <w:tc>
          <w:tcPr>
            <w:tcW w:w="46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Western Asset</w:t>
            </w:r>
          </w:p>
        </w:tc>
        <w:tc>
          <w:tcPr>
            <w:tcW w:w="4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Core Bond IS</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Renasant Bank Aggressive Growth Plan</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0" w:type="dxa"/>
            <w:vAlign w:val="bottom"/>
          </w:tcPr>
          <w:p>
            <w:pPr>
              <w:spacing w:after="0"/>
              <w:rPr>
                <w:sz w:val="1"/>
                <w:szCs w:val="1"/>
                <w:color w:val="auto"/>
              </w:rPr>
            </w:pPr>
          </w:p>
        </w:tc>
      </w:tr>
      <w:tr>
        <w:trPr>
          <w:trHeight w:val="54"/>
        </w:trPr>
        <w:tc>
          <w:tcPr>
            <w:tcW w:w="460" w:type="dxa"/>
            <w:vAlign w:val="bottom"/>
            <w:tcBorders>
              <w:bottom w:val="single" w:sz="8" w:color="CCEEFF"/>
            </w:tcBorders>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4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Separately managed accounts (fund of funds)</w:t>
            </w:r>
          </w:p>
        </w:tc>
        <w:tc>
          <w:tcPr>
            <w:tcW w:w="4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123,870</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6"/>
                <w:szCs w:val="16"/>
                <w:b w:val="1"/>
                <w:bCs w:val="1"/>
                <w:i w:val="1"/>
                <w:iCs w:val="1"/>
                <w:color w:val="auto"/>
              </w:rPr>
              <w:t>Common stock fund</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w:t>
            </w:r>
          </w:p>
        </w:tc>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Renasant Corporation</w:t>
            </w:r>
          </w:p>
        </w:tc>
        <w:tc>
          <w:tcPr>
            <w:tcW w:w="4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Common Stock</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25,742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Notes receivable</w:t>
      </w:r>
    </w:p>
    <w:p>
      <w:pPr>
        <w:sectPr>
          <w:pgSz w:w="11900" w:h="16838" w:orient="portrait"/>
          <w:cols w:equalWidth="0" w:num="1">
            <w:col w:w="11280"/>
          </w:cols>
          <w:pgMar w:left="280" w:top="1440" w:right="339" w:bottom="1440" w:gutter="0" w:footer="0" w:header="0"/>
        </w:sectPr>
      </w:pPr>
    </w:p>
    <w:p>
      <w:pPr>
        <w:spacing w:after="0" w:line="23"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20" w:type="dxa"/>
            <w:vAlign w:val="bottom"/>
          </w:tcPr>
          <w:p>
            <w:pPr>
              <w:ind w:left="100"/>
              <w:spacing w:after="0"/>
              <w:rPr>
                <w:sz w:val="20"/>
                <w:szCs w:val="20"/>
                <w:color w:val="auto"/>
              </w:rPr>
            </w:pPr>
            <w:r>
              <w:rPr>
                <w:rFonts w:ascii="Arial" w:cs="Arial" w:eastAsia="Arial" w:hAnsi="Arial"/>
                <w:sz w:val="16"/>
                <w:szCs w:val="16"/>
                <w:color w:val="auto"/>
              </w:rPr>
              <w:t>Company Contributions</w:t>
            </w:r>
          </w:p>
        </w:tc>
        <w:tc>
          <w:tcPr>
            <w:tcW w:w="5080" w:type="dxa"/>
            <w:vAlign w:val="bottom"/>
          </w:tcPr>
          <w:p>
            <w:pPr>
              <w:ind w:left="1000"/>
              <w:spacing w:after="0"/>
              <w:rPr>
                <w:sz w:val="20"/>
                <w:szCs w:val="20"/>
                <w:color w:val="auto"/>
              </w:rPr>
            </w:pPr>
            <w:r>
              <w:rPr>
                <w:rFonts w:ascii="Arial" w:cs="Arial" w:eastAsia="Arial" w:hAnsi="Arial"/>
                <w:sz w:val="16"/>
                <w:szCs w:val="16"/>
                <w:color w:val="auto"/>
                <w:w w:val="91"/>
              </w:rPr>
              <w:t>Company's annual matching and nondiscretionary contribution</w:t>
            </w:r>
          </w:p>
        </w:tc>
      </w:tr>
      <w:tr>
        <w:trPr>
          <w:trHeight w:val="216"/>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20" w:type="dxa"/>
            <w:vAlign w:val="bottom"/>
          </w:tcPr>
          <w:p>
            <w:pPr>
              <w:ind w:left="100"/>
              <w:spacing w:after="0"/>
              <w:rPr>
                <w:sz w:val="20"/>
                <w:szCs w:val="20"/>
                <w:color w:val="auto"/>
              </w:rPr>
            </w:pPr>
            <w:r>
              <w:rPr>
                <w:rFonts w:ascii="Arial" w:cs="Arial" w:eastAsia="Arial" w:hAnsi="Arial"/>
                <w:sz w:val="16"/>
                <w:szCs w:val="16"/>
                <w:color w:val="auto"/>
              </w:rPr>
              <w:t>Participant Contributions</w:t>
            </w:r>
          </w:p>
        </w:tc>
        <w:tc>
          <w:tcPr>
            <w:tcW w:w="5080" w:type="dxa"/>
            <w:vAlign w:val="bottom"/>
          </w:tcPr>
          <w:p>
            <w:pPr>
              <w:ind w:left="1000"/>
              <w:spacing w:after="0"/>
              <w:rPr>
                <w:sz w:val="20"/>
                <w:szCs w:val="20"/>
                <w:color w:val="auto"/>
              </w:rPr>
            </w:pPr>
            <w:r>
              <w:rPr>
                <w:rFonts w:ascii="Arial" w:cs="Arial" w:eastAsia="Arial" w:hAnsi="Arial"/>
                <w:sz w:val="16"/>
                <w:szCs w:val="16"/>
                <w:color w:val="auto"/>
              </w:rPr>
              <w:t>Participant contributions made in 2021 earned in 2020</w:t>
            </w:r>
          </w:p>
        </w:tc>
      </w:tr>
      <w:tr>
        <w:trPr>
          <w:trHeight w:val="172"/>
        </w:trPr>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20" w:type="dxa"/>
            <w:vAlign w:val="bottom"/>
          </w:tcPr>
          <w:p>
            <w:pPr>
              <w:ind w:left="100"/>
              <w:spacing w:after="0" w:line="171" w:lineRule="exact"/>
              <w:rPr>
                <w:sz w:val="20"/>
                <w:szCs w:val="20"/>
                <w:color w:val="auto"/>
              </w:rPr>
            </w:pPr>
            <w:r>
              <w:rPr>
                <w:rFonts w:ascii="Arial" w:cs="Arial" w:eastAsia="Arial" w:hAnsi="Arial"/>
                <w:sz w:val="16"/>
                <w:szCs w:val="16"/>
                <w:color w:val="auto"/>
              </w:rPr>
              <w:t>Notes Receivable from Participants</w:t>
            </w:r>
          </w:p>
        </w:tc>
        <w:tc>
          <w:tcPr>
            <w:tcW w:w="5080" w:type="dxa"/>
            <w:vAlign w:val="bottom"/>
          </w:tcPr>
          <w:p>
            <w:pPr>
              <w:ind w:left="1000"/>
              <w:spacing w:after="0" w:line="171" w:lineRule="exact"/>
              <w:rPr>
                <w:sz w:val="20"/>
                <w:szCs w:val="20"/>
                <w:color w:val="auto"/>
              </w:rPr>
            </w:pPr>
            <w:r>
              <w:rPr>
                <w:rFonts w:ascii="Arial" w:cs="Arial" w:eastAsia="Arial" w:hAnsi="Arial"/>
                <w:sz w:val="16"/>
                <w:szCs w:val="16"/>
                <w:color w:val="auto"/>
                <w:w w:val="99"/>
              </w:rPr>
              <w:t>Range of interest rates from 3.50% to 6.50% with maturity</w:t>
            </w:r>
          </w:p>
        </w:tc>
      </w:tr>
      <w:tr>
        <w:trPr>
          <w:trHeight w:val="206"/>
        </w:trPr>
        <w:tc>
          <w:tcPr>
            <w:tcW w:w="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080" w:type="dxa"/>
            <w:vAlign w:val="bottom"/>
          </w:tcPr>
          <w:p>
            <w:pPr>
              <w:ind w:left="1000"/>
              <w:spacing w:after="0"/>
              <w:rPr>
                <w:sz w:val="20"/>
                <w:szCs w:val="20"/>
                <w:color w:val="auto"/>
              </w:rPr>
            </w:pPr>
            <w:r>
              <w:rPr>
                <w:rFonts w:ascii="Arial" w:cs="Arial" w:eastAsia="Arial" w:hAnsi="Arial"/>
                <w:sz w:val="16"/>
                <w:szCs w:val="16"/>
                <w:color w:val="auto"/>
              </w:rPr>
              <w:t>dates through 2028</w:t>
            </w:r>
          </w:p>
        </w:tc>
      </w:tr>
      <w:tr>
        <w:trPr>
          <w:trHeight w:val="270"/>
        </w:trPr>
        <w:tc>
          <w:tcPr>
            <w:tcW w:w="260" w:type="dxa"/>
            <w:vAlign w:val="bottom"/>
          </w:tcPr>
          <w:p>
            <w:pPr>
              <w:spacing w:after="0"/>
              <w:rPr>
                <w:sz w:val="23"/>
                <w:szCs w:val="23"/>
                <w:color w:val="auto"/>
              </w:rPr>
            </w:pPr>
          </w:p>
        </w:tc>
        <w:tc>
          <w:tcPr>
            <w:tcW w:w="342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Total assets (held at end of year)</w:t>
            </w:r>
          </w:p>
        </w:tc>
        <w:tc>
          <w:tcPr>
            <w:tcW w:w="50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-681355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-407035</wp:posOffset>
            </wp:positionV>
            <wp:extent cx="7132320" cy="436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72"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Asset allocation plan administered by Renasant Trust Division-not a registered equity mutual fund under the Investment Company Act of 1940.</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3"/>
          <w:szCs w:val="13"/>
          <w:color w:val="auto"/>
        </w:rPr>
        <w:t>Denotes party-in-interest.</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Cost information has been omitted for participant-directed investments.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10,811</w:t>
            </w:r>
          </w:p>
        </w:tc>
      </w:tr>
      <w:tr>
        <w:trPr>
          <w:trHeight w:val="21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423"/>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93"/>
              </w:rPr>
              <w:t xml:space="preserve">*** </w:t>
            </w:r>
            <w:r>
              <w:rPr>
                <w:rFonts w:ascii="Arial" w:cs="Arial" w:eastAsia="Arial" w:hAnsi="Arial"/>
                <w:sz w:val="32"/>
                <w:szCs w:val="32"/>
                <w:color w:val="auto"/>
                <w:w w:val="93"/>
                <w:vertAlign w:val="subscript"/>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3,365</w:t>
            </w:r>
          </w:p>
        </w:tc>
      </w:tr>
    </w:tbl>
    <w:p>
      <w:pPr>
        <w:spacing w:after="0" w:line="32" w:lineRule="exact"/>
        <w:rPr>
          <w:sz w:val="20"/>
          <w:szCs w:val="20"/>
          <w:color w:val="auto"/>
        </w:rPr>
      </w:pPr>
    </w:p>
    <w:p>
      <w:pPr>
        <w:ind w:left="720" w:hanging="476"/>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279,545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58420</wp:posOffset>
            </wp:positionV>
            <wp:extent cx="694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149" w:lineRule="exact"/>
        <w:rPr>
          <w:sz w:val="20"/>
          <w:szCs w:val="20"/>
          <w:color w:val="auto"/>
        </w:rPr>
      </w:pPr>
    </w:p>
    <w:p>
      <w:pPr>
        <w:sectPr>
          <w:pgSz w:w="11900" w:h="16838" w:orient="portrait"/>
          <w:cols w:equalWidth="0" w:num="2">
            <w:col w:w="9240" w:space="720"/>
            <w:col w:w="1320"/>
          </w:cols>
          <w:pgMar w:left="280" w:top="1440" w:right="339" w:bottom="1440" w:gutter="0" w:footer="0" w:header="0"/>
          <w:type w:val="continuous"/>
        </w:sect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280" w:top="1440"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b w:val="1"/>
          <w:bCs w:val="1"/>
          <w:color w:val="auto"/>
        </w:rPr>
        <w:t xml:space="preserve"> </w:t>
      </w:r>
      <w:r>
        <w:rPr>
          <w:rFonts w:ascii="Arial" w:cs="Arial" w:eastAsia="Arial" w:hAnsi="Arial"/>
          <w:sz w:val="18"/>
          <w:szCs w:val="18"/>
          <w:color w:val="auto"/>
        </w:rPr>
        <w:t>have duly caused this Annual Report on Form 11-K to be signed on its behalf by the undersigned 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RENASANT BANK 401(k) PLAN</w:t>
            </w:r>
          </w:p>
        </w:tc>
      </w:tr>
      <w:tr>
        <w:trPr>
          <w:trHeight w:val="499"/>
        </w:trPr>
        <w:tc>
          <w:tcPr>
            <w:tcW w:w="3180" w:type="dxa"/>
            <w:vAlign w:val="bottom"/>
          </w:tcPr>
          <w:p>
            <w:pPr>
              <w:spacing w:after="0"/>
              <w:rPr>
                <w:sz w:val="20"/>
                <w:szCs w:val="20"/>
                <w:color w:val="auto"/>
              </w:rPr>
            </w:pPr>
            <w:r>
              <w:rPr>
                <w:rFonts w:ascii="Arial" w:cs="Arial" w:eastAsia="Arial" w:hAnsi="Arial"/>
                <w:sz w:val="18"/>
                <w:szCs w:val="18"/>
                <w:color w:val="auto"/>
                <w:w w:val="87"/>
              </w:rPr>
              <w:t>Date:June 25, 2021</w:t>
            </w:r>
          </w:p>
        </w:tc>
        <w:tc>
          <w:tcPr>
            <w:tcW w:w="5840" w:type="dxa"/>
            <w:vAlign w:val="bottom"/>
            <w:gridSpan w:val="2"/>
          </w:tcPr>
          <w:p>
            <w:pPr>
              <w:ind w:left="1480"/>
              <w:spacing w:after="0"/>
              <w:rPr>
                <w:sz w:val="20"/>
                <w:szCs w:val="20"/>
                <w:color w:val="auto"/>
              </w:rPr>
            </w:pPr>
            <w:r>
              <w:rPr>
                <w:rFonts w:ascii="Arial" w:cs="Arial" w:eastAsia="Arial" w:hAnsi="Arial"/>
                <w:sz w:val="18"/>
                <w:szCs w:val="18"/>
                <w:color w:val="auto"/>
                <w:w w:val="92"/>
              </w:rPr>
              <w:t>by:/s/ Leslie Barry</w:t>
            </w:r>
          </w:p>
        </w:tc>
      </w:tr>
      <w:tr>
        <w:trPr>
          <w:trHeight w:val="222"/>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Leslie Barry</w:t>
            </w:r>
          </w:p>
        </w:tc>
      </w:tr>
      <w:tr>
        <w:trPr>
          <w:trHeight w:val="230"/>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17"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40" w:type="dxa"/>
            <w:vAlign w:val="bottom"/>
            <w:gridSpan w:val="2"/>
          </w:tcPr>
          <w:p>
            <w:pPr>
              <w:ind w:left="2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2080" w:type="dxa"/>
            <w:vAlign w:val="bottom"/>
            <w:gridSpan w:val="2"/>
          </w:tcPr>
          <w:p>
            <w:pPr>
              <w:jc w:val="center"/>
              <w:ind w:right="28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24"/>
                <w:szCs w:val="24"/>
                <w:color w:val="auto"/>
              </w:rPr>
            </w:pPr>
          </w:p>
        </w:tc>
        <w:tc>
          <w:tcPr>
            <w:tcW w:w="9140" w:type="dxa"/>
            <w:vAlign w:val="bottom"/>
            <w:gridSpan w:val="2"/>
            <w:vMerge w:val="restart"/>
          </w:tcPr>
          <w:p>
            <w:pPr>
              <w:ind w:left="422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6"/>
        </w:trPr>
        <w:tc>
          <w:tcPr>
            <w:tcW w:w="2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Number</w:t>
            </w:r>
          </w:p>
        </w:tc>
        <w:tc>
          <w:tcPr>
            <w:tcW w:w="20" w:type="dxa"/>
            <w:vAlign w:val="bottom"/>
          </w:tcPr>
          <w:p>
            <w:pPr>
              <w:spacing w:after="0"/>
              <w:rPr>
                <w:sz w:val="16"/>
                <w:szCs w:val="16"/>
                <w:color w:val="auto"/>
              </w:rPr>
            </w:pPr>
          </w:p>
        </w:tc>
        <w:tc>
          <w:tcPr>
            <w:tcW w:w="9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23.1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2"/>
            <w:vMerge w:val="restart"/>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 333-104445, 333-122514, 333-150355, 333-197555) on Form S-8 of Renasant Corporation for Renasant Bank 401(k) Plan, of our report dated June 25, 2021, relating to the financial statements and supplemental schedule of Renasant Bank 401(k) Plan, which appears in this Annual Report on Form 11-K of Renasant Bank 401(k) Plan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HORNE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2021-06-25T14:28:44Z</dcterms:created>
  <dcterms:modified xsi:type="dcterms:W3CDTF">2021-06-25T14:28:44Z</dcterms:modified>
</cp:coreProperties>
</file>